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______________________________________________ районный суд </w:t>
      </w:r>
      <w:hyperlink w:history="0" w:anchor="P75" w:tooltip="&lt;1&gt; О разграничении подсудности между мировым судьей и районным судом см. ст. ст. 23 и 24 Гражданского процессуального кодекса Российской Федераци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Истец: _________________________________ (Ф.И.О. поручителя) </w:t>
      </w:r>
      <w:hyperlink w:history="0" w:anchor="P76" w:tooltip="&lt;2&gt; Перечень обязательных сведений об истце и ответчике, которые необходимо указать в исковом заявлении, см. в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Представитель истца: _______________________________________ </w:t>
      </w:r>
      <w:hyperlink w:history="0" w:anchor="P7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Ответчик: ________________________________ (Ф.И.О. заемщика) </w:t>
      </w:r>
      <w:hyperlink w:history="0" w:anchor="P76" w:tooltip="&lt;2&gt; Перечень обязательных сведений об истце и ответчике, которые необходимо указать в исковом заявлении, см. в ч. 2 ст. 131 Гражданского процессуального кодекса Российской Федерации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_______________________________________,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место работы: __________________________________ (если известно),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Третье лицо: _________________ (наименование или Ф.И.О. кредитора</w:t>
      </w:r>
    </w:p>
    <w:p>
      <w:pPr>
        <w:pStyle w:val="0"/>
        <w:jc w:val="right"/>
      </w:pPr>
      <w:r>
        <w:rPr>
          <w:sz w:val="20"/>
        </w:rPr>
        <w:t xml:space="preserve">заемщика),</w:t>
      </w:r>
    </w:p>
    <w:p>
      <w:pPr>
        <w:pStyle w:val="0"/>
        <w:jc w:val="right"/>
      </w:pPr>
      <w:r>
        <w:rPr>
          <w:sz w:val="20"/>
        </w:rPr>
        <w:t xml:space="preserve">адрес: 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__________, факс: _____________________________________,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Цена иска: ___________________________ рублей </w:t>
      </w:r>
      <w:hyperlink w:history="0" w:anchor="P78" w:tooltip="&lt;4&gt; Цена иска по искам о взыскании денежных средств, согласно п. 1 ч. 1 ст. 91 Гражданского процессуального кодекса Российской Федерации определяется исходя из взыскиваемой денежной суммы.">
        <w:r>
          <w:rPr>
            <w:sz w:val="20"/>
            <w:color w:val="0000ff"/>
          </w:rPr>
          <w:t xml:space="preserve">&lt;4&gt;</w:t>
        </w:r>
      </w:hyperlink>
    </w:p>
    <w:p>
      <w:pPr>
        <w:pStyle w:val="0"/>
        <w:jc w:val="right"/>
      </w:pPr>
      <w:r>
        <w:rPr>
          <w:sz w:val="20"/>
        </w:rPr>
        <w:t xml:space="preserve">Госпошлина: __________________________ рублей </w:t>
      </w:r>
      <w:hyperlink w:history="0" w:anchor="P79" w:tooltip="&lt;5&gt; Госпошлина при подаче искового заявления имущественного характера, подлежащего оценке, определяется в соответствии с пп. 1 п. 1 ст. 333.19 Налогового кодекса Российской Федерации.">
        <w:r>
          <w:rPr>
            <w:sz w:val="20"/>
            <w:color w:val="0000ff"/>
          </w:rPr>
          <w:t xml:space="preserve">&lt;5&gt;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Исковое заявление</w:t>
      </w:r>
    </w:p>
    <w:p>
      <w:pPr>
        <w:pStyle w:val="0"/>
        <w:jc w:val="center"/>
      </w:pPr>
      <w:r>
        <w:rPr>
          <w:sz w:val="20"/>
        </w:rPr>
        <w:t xml:space="preserve">о взыскании в порядке регресса с заемщика</w:t>
      </w:r>
    </w:p>
    <w:p>
      <w:pPr>
        <w:pStyle w:val="0"/>
        <w:jc w:val="center"/>
      </w:pPr>
      <w:r>
        <w:rPr>
          <w:sz w:val="20"/>
        </w:rPr>
        <w:t xml:space="preserve">суммы оплаченного за него долга и процентов за пользование</w:t>
      </w:r>
    </w:p>
    <w:p>
      <w:pPr>
        <w:pStyle w:val="0"/>
        <w:jc w:val="center"/>
      </w:pPr>
      <w:r>
        <w:rPr>
          <w:sz w:val="20"/>
        </w:rPr>
        <w:t xml:space="preserve">чужими денежными средствами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 между Истцом и Третьим лицом был заключен договор поручительства N ___ (далее - Договор), согласно которому Истец обязывается перед Третьим лицом отвечать за исполнение Ответчиком его обязательства по возврату денежных средств Третьему лицу по договору займа от "___"_________ ____ г. N ___, заключенному между Третьим лицом и Ответчиком, в объеме __________ (________) рублей, что подтверждается 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п. ___ Договора в случае неисполнения или неполного исполнения Ответчиком своего обязательства перед Третьим лицом отвечает Истец. Впоследствии к Истцу переходят все права кредитора в том объеме, в котором он их исполнил в качестве поручителя. Также Истец вправе требовать возмещения иных расходов, понесенных в результате исполнения обязательства.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"___"__________ ____ г. Истец удовлетворил все требования Третьего лица, заявленные к нему, поскольку Ответчик не смог выполнить свое обязательство, а именно: _______________________, что подтверждается 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Третье лицо передало Истцу документы, подтверждающие выполнение обязательств Ответчика, и права по исполненному обязательству, что подтверждается 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Также Истцу пришлось произвести дополнительные расходы по ___________________________ на сумму ____________ (__________) рублей, что подтверждается 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Требование (претензию) Истца от "___"_______________ ____ г. N ______ о взыскании суммы уплаченного долга в размере _______________ (_____________) рублей Ответчик добровольно не удовлетворил, сославшись на _________________________________________________________ (или осталось без ответа), что подтверждается _________________________________ </w:t>
      </w:r>
      <w:hyperlink w:history="0" w:anchor="P81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п. 1 ст. 361</w:t>
        </w:r>
      </w:hyperlink>
      <w:r>
        <w:rPr>
          <w:sz w:val="20"/>
        </w:rPr>
        <w:t xml:space="preserve"> Гражданского кодекса Российской Федерации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п. 1 ст. 365</w:t>
        </w:r>
      </w:hyperlink>
      <w:r>
        <w:rPr>
          <w:sz w:val="20"/>
        </w:rPr>
        <w:t xml:space="preserve"> Гражданского кодекса Российской Федерации к поручителю, исполнившему обязательство, переходят права кредитора по этому обязательству и права, принадлежавшие кредитору как залогодержателю, в том объеме, в котором поручитель удовлетворил требование кредитора. Поручитель также вправе требовать от должника уплаты процентов на сумму, выплаченную кредитору, и возмещения иных убытков, понесенных в связи с ответственностью за должника.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п. 1 ст. 395</w:t>
        </w:r>
      </w:hyperlink>
      <w:r>
        <w:rPr>
          <w:sz w:val="20"/>
        </w:rPr>
        <w:t xml:space="preserve"> Гражданского кодекса Российской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 </w:t>
      </w:r>
      <w:hyperlink w:history="0" w:anchor="P82" w:tooltip="&lt;7&gt; Ключевая ставка - процентная ставка по основным операциям Банка России по регулированию ликвидности банковского сектора. Является основным индикатором денежно-кредитной политики.">
        <w:r>
          <w:rPr>
            <w:sz w:val="20"/>
            <w:color w:val="0000ff"/>
          </w:rPr>
          <w:t xml:space="preserve">&lt;7&gt;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"___"__________ ____ г. по "___"__________ ___ г. Ответчик незаконно удерживал денежные средства Истца, размер процентов за пользование чужими денежными средствами составляет ______ (____________) рублей (по состоянию на "___"_________ ____ г. размер ключевой ставки составляет ________).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вышеизложенным и на основании </w:t>
      </w:r>
      <w:hyperlink w:history="0" r:id="rId1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ст. 361</w:t>
        </w:r>
      </w:hyperlink>
      <w:r>
        <w:rPr>
          <w:sz w:val="20"/>
        </w:rPr>
        <w:t xml:space="preserve">, </w:t>
      </w:r>
      <w:hyperlink w:history="0" r:id="rId1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п. 1 ст. 365</w:t>
        </w:r>
      </w:hyperlink>
      <w:r>
        <w:rPr>
          <w:sz w:val="20"/>
        </w:rPr>
        <w:t xml:space="preserve">, </w:t>
      </w:r>
      <w:hyperlink w:history="0" r:id="rId1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п. 1 ст. 395</w:t>
        </w:r>
      </w:hyperlink>
      <w:r>
        <w:rPr>
          <w:sz w:val="20"/>
        </w:rPr>
        <w:t xml:space="preserve"> Гражданского кодекса Российской Федерации, руководствуясь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98</w:t>
        </w:r>
      </w:hyperlink>
      <w:r>
        <w:rPr>
          <w:sz w:val="20"/>
        </w:rPr>
        <w:t xml:space="preserve">, 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131</w:t>
        </w:r>
      </w:hyperlink>
      <w:r>
        <w:rPr>
          <w:sz w:val="20"/>
        </w:rPr>
        <w:t xml:space="preserve">, 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132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Взыскать с Ответчика в пользу Истца сумму долга, погашенного Истцом по договору займа от "__"_________ ___ г. N ___, в размере __________ (_______)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Взыскать с Ответчика в пользу Истца сумму дополнительных расходов, понесенных Истцом при исполнении обязательства перед Третьим лицом, в размере ___________ (________)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Взыскать с Ответчика в пользу Истца сумму процентов за пользование чужими денежными средствами в размере ____________ (____________)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Взыскать с Ответчика в пользу Истца сумму расходов по уплате государственной пошлины в размере ____________ (_______________) рублей.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Копия договора займа от "___"_________ ____ г. N 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Копия договора поручительства от "___"____________ ____ г. N 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Копии документов, доказывающих исполнение Истцом перед Третьим лицом обязательства Ответчика по возврату суммы долга.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Расчет суммы исковых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Копия требования (претензии) Истца от "___"__________ ____ г. N ___ </w:t>
      </w:r>
      <w:hyperlink w:history="0" w:anchor="P81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Доказательства отказа Ответчика от удовлетворения требования (претензии) Истца </w:t>
      </w:r>
      <w:hyperlink w:history="0" w:anchor="P81" w:tooltip="&lt;6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">
        <w:r>
          <w:rPr>
            <w:sz w:val="20"/>
            <w:color w:val="0000ff"/>
          </w:rPr>
          <w:t xml:space="preserve">&lt;6&gt;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history="0" w:anchor="P79" w:tooltip="&lt;5&gt; Госпошлина при подаче искового заявления имущественного характера, подлежащего оценке, определяется в соответствии с пп. 1 п. 1 ст. 333.19 Налогового кодекса Российской Федерации.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history="0" w:anchor="P77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Иные документы, подтверждающие обстоятельства, на которых Истец основывает свои требования.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 (подпись) / ____________________________________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О разграничении подсудности между мировым судьей и районным судом см.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23</w:t>
        </w:r>
      </w:hyperlink>
      <w:r>
        <w:rPr>
          <w:sz w:val="20"/>
        </w:rPr>
        <w:t xml:space="preserve"> и </w:t>
      </w:r>
      <w:hyperlink w:history="0" r:id="rId1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w:history="0" r:id="rId1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2 ст. 131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 требованиях, предъявляемых к представителям и документам, подтверждающим их полномочия, см. </w:t>
      </w:r>
      <w:hyperlink w:history="0" r:id="rId1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49</w:t>
        </w:r>
      </w:hyperlink>
      <w:r>
        <w:rPr>
          <w:sz w:val="20"/>
        </w:rPr>
        <w:t xml:space="preserve"> - </w:t>
      </w:r>
      <w:hyperlink w:history="0" r:id="rId2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 процессуального кодекса Российской Федерации.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Цена иска по искам о взыскании денежных средств, согласно </w:t>
      </w:r>
      <w:hyperlink w:history="0" r:id="rId2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1 ч. 1 ст. 91</w:t>
        </w:r>
      </w:hyperlink>
      <w:r>
        <w:rPr>
          <w:sz w:val="20"/>
        </w:rPr>
        <w:t xml:space="preserve"> Гражданского процессуального кодекса Российской Федерации определяется исходя из взыскиваемой денежной суммы.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Госпошлина при подаче искового заявления имущественного характера, подлежащего оценке, определяется в соответствии с </w:t>
      </w:r>
      <w:hyperlink w:history="0" r:id="rId22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1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вопросам, касающимся предоставления льгот по уплате госпошлины определенным категориям лиц, см. </w:t>
      </w:r>
      <w:hyperlink w:history="0" r:id="rId23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ст. 333.35</w:t>
        </w:r>
      </w:hyperlink>
      <w:r>
        <w:rPr>
          <w:sz w:val="20"/>
        </w:rPr>
        <w:t xml:space="preserve">, </w:t>
      </w:r>
      <w:hyperlink w:history="0" r:id="rId24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25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3 ст. 333.36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81" w:name="P81"/>
    <w:bookmarkEnd w:id="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Согласно </w:t>
      </w:r>
      <w:hyperlink w:history="0" r:id="rId2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3 ст. 132</w:t>
        </w:r>
      </w:hyperlink>
      <w:r>
        <w:rPr>
          <w:sz w:val="20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Ключевая ставка - процентная ставка по основным операциям Банка России по регулированию ликвидности банковского сектора. Является основным индикатором денежно-кредитной политики.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Официальная информация о размере ключевой ставки размещается на официальном сайте Банка России по адресу </w:t>
      </w:r>
      <w:hyperlink w:history="0" r:id="rId27">
        <w:r>
          <w:rPr>
            <w:sz w:val="20"/>
            <w:color w:val="0000ff"/>
          </w:rPr>
          <w:t xml:space="preserve">http://www.cbr.ru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Исковое заявление поручителя в суд общей юрисдикции о взыскании в порядке регресса с заемщика суммы оплаченного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Исковое заявление поручителя в суд общей юрисдикции о взыскании в порядке регресса с заемщика суммы оплаченного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8490&amp;dst=10580" TargetMode = "External"/><Relationship Id="rId8" Type="http://schemas.openxmlformats.org/officeDocument/2006/relationships/hyperlink" Target="https://login.consultant.ru/link/?req=doc&amp;base=LAW&amp;n=508490&amp;dst=101791" TargetMode = "External"/><Relationship Id="rId9" Type="http://schemas.openxmlformats.org/officeDocument/2006/relationships/hyperlink" Target="https://login.consultant.ru/link/?req=doc&amp;base=LAW&amp;n=508490&amp;dst=10938" TargetMode = "External"/><Relationship Id="rId10" Type="http://schemas.openxmlformats.org/officeDocument/2006/relationships/hyperlink" Target="https://login.consultant.ru/link/?req=doc&amp;base=LAW&amp;n=508490&amp;dst=10579" TargetMode = "External"/><Relationship Id="rId11" Type="http://schemas.openxmlformats.org/officeDocument/2006/relationships/hyperlink" Target="https://login.consultant.ru/link/?req=doc&amp;base=LAW&amp;n=508490&amp;dst=101791" TargetMode = "External"/><Relationship Id="rId12" Type="http://schemas.openxmlformats.org/officeDocument/2006/relationships/hyperlink" Target="https://login.consultant.ru/link/?req=doc&amp;base=LAW&amp;n=508490&amp;dst=10938" TargetMode = "External"/><Relationship Id="rId13" Type="http://schemas.openxmlformats.org/officeDocument/2006/relationships/hyperlink" Target="https://login.consultant.ru/link/?req=doc&amp;base=LAW&amp;n=511272&amp;dst=100475" TargetMode = "External"/><Relationship Id="rId14" Type="http://schemas.openxmlformats.org/officeDocument/2006/relationships/hyperlink" Target="https://login.consultant.ru/link/?req=doc&amp;base=LAW&amp;n=511272&amp;dst=100628" TargetMode = "External"/><Relationship Id="rId15" Type="http://schemas.openxmlformats.org/officeDocument/2006/relationships/hyperlink" Target="https://login.consultant.ru/link/?req=doc&amp;base=LAW&amp;n=511272&amp;dst=1271" TargetMode = "External"/><Relationship Id="rId16" Type="http://schemas.openxmlformats.org/officeDocument/2006/relationships/hyperlink" Target="https://login.consultant.ru/link/?req=doc&amp;base=LAW&amp;n=511272&amp;dst=100110" TargetMode = "External"/><Relationship Id="rId17" Type="http://schemas.openxmlformats.org/officeDocument/2006/relationships/hyperlink" Target="https://login.consultant.ru/link/?req=doc&amp;base=LAW&amp;n=511272&amp;dst=100122" TargetMode = "External"/><Relationship Id="rId18" Type="http://schemas.openxmlformats.org/officeDocument/2006/relationships/hyperlink" Target="https://login.consultant.ru/link/?req=doc&amp;base=LAW&amp;n=511272&amp;dst=100630" TargetMode = "External"/><Relationship Id="rId19" Type="http://schemas.openxmlformats.org/officeDocument/2006/relationships/hyperlink" Target="https://login.consultant.ru/link/?req=doc&amp;base=LAW&amp;n=511272&amp;dst=1208" TargetMode = "External"/><Relationship Id="rId20" Type="http://schemas.openxmlformats.org/officeDocument/2006/relationships/hyperlink" Target="https://login.consultant.ru/link/?req=doc&amp;base=LAW&amp;n=511272&amp;dst=100253" TargetMode = "External"/><Relationship Id="rId21" Type="http://schemas.openxmlformats.org/officeDocument/2006/relationships/hyperlink" Target="https://login.consultant.ru/link/?req=doc&amp;base=LAW&amp;n=511272&amp;dst=100427" TargetMode = "External"/><Relationship Id="rId22" Type="http://schemas.openxmlformats.org/officeDocument/2006/relationships/hyperlink" Target="https://login.consultant.ru/link/?req=doc&amp;base=LAW&amp;n=517473&amp;dst=12791" TargetMode = "External"/><Relationship Id="rId23" Type="http://schemas.openxmlformats.org/officeDocument/2006/relationships/hyperlink" Target="https://login.consultant.ru/link/?req=doc&amp;base=LAW&amp;n=517473&amp;dst=1225" TargetMode = "External"/><Relationship Id="rId24" Type="http://schemas.openxmlformats.org/officeDocument/2006/relationships/hyperlink" Target="https://login.consultant.ru/link/?req=doc&amp;base=LAW&amp;n=517473&amp;dst=11641" TargetMode = "External"/><Relationship Id="rId25" Type="http://schemas.openxmlformats.org/officeDocument/2006/relationships/hyperlink" Target="https://login.consultant.ru/link/?req=doc&amp;base=LAW&amp;n=517473&amp;dst=11647" TargetMode = "External"/><Relationship Id="rId26" Type="http://schemas.openxmlformats.org/officeDocument/2006/relationships/hyperlink" Target="https://login.consultant.ru/link/?req=doc&amp;base=LAW&amp;n=511272&amp;dst=1275" TargetMode = "External"/><Relationship Id="rId27" Type="http://schemas.openxmlformats.org/officeDocument/2006/relationships/hyperlink" Target="http://www.cbr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поручителя в суд общей юрисдикции о взыскании в порядке регресса с заемщика суммы оплаченного за него долга и процентов за пользование чужими денежными средствами
(Подготовлен для системы КонсультантПлюс, 2025)</dc:title>
  <dcterms:created xsi:type="dcterms:W3CDTF">2025-11-21T12:28:20Z</dcterms:created>
</cp:coreProperties>
</file>