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______________________________________________ районный суд </w:t>
      </w:r>
      <w:hyperlink w:history="0" w:anchor="P75" w:tooltip="&lt;1&gt; По смыслу ст. ст. 23, 24 Гражданского процессуального кодекса Российской Федерации споры о признании права собственности на недвижимое имущество рассматриваются районным судом в качестве суда первой инстанции.">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 (наименование или Ф.И.О.) </w:t>
      </w:r>
      <w:hyperlink w:history="0" w:anchor="P77" w:tooltip="&lt;2&gt; Перечень обязательных сведений об истце, которые необходимо указать в исковом заявлении, см. в п. 2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________________________________________</w:t>
      </w:r>
    </w:p>
    <w:p>
      <w:pPr>
        <w:pStyle w:val="0"/>
        <w:ind w:firstLine="540"/>
        <w:jc w:val="both"/>
      </w:pPr>
      <w:r>
        <w:rPr>
          <w:sz w:val="20"/>
        </w:rPr>
      </w:r>
    </w:p>
    <w:p>
      <w:pPr>
        <w:pStyle w:val="0"/>
        <w:jc w:val="right"/>
      </w:pPr>
      <w:r>
        <w:rPr>
          <w:sz w:val="20"/>
        </w:rPr>
        <w:t xml:space="preserve">Вариант для истца-гражданина:</w:t>
      </w:r>
    </w:p>
    <w:p>
      <w:pPr>
        <w:pStyle w:val="0"/>
        <w:jc w:val="right"/>
      </w:pPr>
      <w:r>
        <w:rPr>
          <w:sz w:val="20"/>
        </w:rPr>
        <w:t xml:space="preserve">дата и место рождения: _________________________________________,</w:t>
      </w:r>
    </w:p>
    <w:p>
      <w:pPr>
        <w:pStyle w:val="0"/>
        <w:jc w:val="right"/>
      </w:pPr>
      <w:r>
        <w:rPr>
          <w:sz w:val="20"/>
        </w:rPr>
        <w:t xml:space="preserve">идентификатор гражданина: _______________________________________</w:t>
      </w:r>
    </w:p>
    <w:p>
      <w:pPr>
        <w:pStyle w:val="0"/>
        <w:ind w:firstLine="540"/>
        <w:jc w:val="both"/>
      </w:pPr>
      <w:r>
        <w:rPr>
          <w:sz w:val="20"/>
        </w:rPr>
      </w:r>
    </w:p>
    <w:p>
      <w:pPr>
        <w:pStyle w:val="0"/>
        <w:jc w:val="right"/>
      </w:pPr>
      <w:r>
        <w:rPr>
          <w:sz w:val="20"/>
        </w:rPr>
        <w:t xml:space="preserve">Вариант для истца-организации:</w:t>
      </w:r>
    </w:p>
    <w:p>
      <w:pPr>
        <w:pStyle w:val="0"/>
        <w:jc w:val="right"/>
      </w:pPr>
      <w:r>
        <w:rPr>
          <w:sz w:val="20"/>
        </w:rPr>
        <w:t xml:space="preserve">ИНН: ___________________________, ОГРН: _________________________</w:t>
      </w:r>
    </w:p>
    <w:p>
      <w:pPr>
        <w:pStyle w:val="0"/>
        <w:ind w:firstLine="540"/>
        <w:jc w:val="both"/>
      </w:pPr>
      <w:r>
        <w:rPr>
          <w:sz w:val="20"/>
        </w:rPr>
      </w:r>
    </w:p>
    <w:p>
      <w:pPr>
        <w:pStyle w:val="0"/>
        <w:jc w:val="right"/>
      </w:pPr>
      <w:r>
        <w:rPr>
          <w:sz w:val="20"/>
        </w:rPr>
        <w:t xml:space="preserve">Представитель истца: ________________________________________ </w:t>
      </w:r>
      <w:hyperlink w:history="0" w:anchor="P78"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идентификатор гражданина: _______________________________________</w:t>
      </w:r>
    </w:p>
    <w:p>
      <w:pPr>
        <w:pStyle w:val="0"/>
        <w:ind w:firstLine="540"/>
        <w:jc w:val="both"/>
      </w:pPr>
      <w:r>
        <w:rPr>
          <w:sz w:val="20"/>
        </w:rPr>
      </w:r>
    </w:p>
    <w:p>
      <w:pPr>
        <w:pStyle w:val="0"/>
        <w:jc w:val="right"/>
      </w:pPr>
      <w:r>
        <w:rPr>
          <w:sz w:val="20"/>
        </w:rPr>
        <w:t xml:space="preserve">Ответчик: _________________________ (наименование или Ф.И.О.) </w:t>
      </w:r>
      <w:hyperlink w:history="0" w:anchor="P79" w:tooltip="&lt;4&gt; Перечень обязательных сведений об ответчике, которые необходимо указать в исковом заявлении, см. в п. 3 ч. 2 ст. 131 Гражданского процессуального кодекса Российской Федерации.">
        <w:r>
          <w:rPr>
            <w:sz w:val="20"/>
            <w:color w:val="0000ff"/>
          </w:rPr>
          <w:t xml:space="preserve">&lt;4&gt;</w:t>
        </w:r>
      </w:hyperlink>
    </w:p>
    <w:p>
      <w:pPr>
        <w:pStyle w:val="0"/>
        <w:jc w:val="right"/>
      </w:pPr>
      <w:r>
        <w:rPr>
          <w:sz w:val="20"/>
        </w:rPr>
        <w:t xml:space="preserve">адрес: _________________________________________________________,</w:t>
      </w:r>
    </w:p>
    <w:p>
      <w:pPr>
        <w:pStyle w:val="0"/>
        <w:jc w:val="right"/>
      </w:pPr>
      <w:r>
        <w:rPr>
          <w:sz w:val="20"/>
        </w:rPr>
        <w:t xml:space="preserve">телефон: _______________________, факс: ________________________,</w:t>
      </w:r>
    </w:p>
    <w:p>
      <w:pPr>
        <w:pStyle w:val="0"/>
        <w:jc w:val="right"/>
      </w:pPr>
      <w:r>
        <w:rPr>
          <w:sz w:val="20"/>
        </w:rPr>
        <w:t xml:space="preserve">адрес электронной почты: ________________________________________</w:t>
      </w:r>
    </w:p>
    <w:p>
      <w:pPr>
        <w:pStyle w:val="0"/>
        <w:ind w:firstLine="540"/>
        <w:jc w:val="both"/>
      </w:pPr>
      <w:r>
        <w:rPr>
          <w:sz w:val="20"/>
        </w:rPr>
      </w:r>
    </w:p>
    <w:p>
      <w:pPr>
        <w:pStyle w:val="0"/>
        <w:jc w:val="right"/>
      </w:pPr>
      <w:r>
        <w:rPr>
          <w:sz w:val="20"/>
        </w:rPr>
        <w:t xml:space="preserve">Вариант для ответчика-гражданина:</w:t>
      </w:r>
    </w:p>
    <w:p>
      <w:pPr>
        <w:pStyle w:val="0"/>
        <w:jc w:val="right"/>
      </w:pPr>
      <w:r>
        <w:rPr>
          <w:sz w:val="20"/>
        </w:rPr>
        <w:t xml:space="preserve">дата и место рождения: _________________________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__________________________________ (если известно),</w:t>
      </w:r>
    </w:p>
    <w:p>
      <w:pPr>
        <w:pStyle w:val="0"/>
        <w:jc w:val="right"/>
      </w:pPr>
      <w:r>
        <w:rPr>
          <w:sz w:val="20"/>
        </w:rPr>
        <w:t xml:space="preserve">идентификатор гражданина: _______________________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Вариант для ответчика-организации:</w:t>
      </w:r>
    </w:p>
    <w:p>
      <w:pPr>
        <w:pStyle w:val="0"/>
        <w:jc w:val="right"/>
      </w:pPr>
      <w:r>
        <w:rPr>
          <w:sz w:val="20"/>
        </w:rPr>
        <w:t xml:space="preserve">ИНН: __________________, ОГРН: __________________ (если известны)</w:t>
      </w:r>
    </w:p>
    <w:p>
      <w:pPr>
        <w:pStyle w:val="0"/>
        <w:ind w:firstLine="540"/>
        <w:jc w:val="both"/>
      </w:pPr>
      <w:r>
        <w:rPr>
          <w:sz w:val="20"/>
        </w:rPr>
      </w:r>
    </w:p>
    <w:p>
      <w:pPr>
        <w:pStyle w:val="0"/>
        <w:jc w:val="right"/>
      </w:pPr>
      <w:r>
        <w:rPr>
          <w:sz w:val="20"/>
        </w:rPr>
        <w:t xml:space="preserve">Цена иска: ___________________________ рублей </w:t>
      </w:r>
      <w:hyperlink w:history="0" w:anchor="P82" w:tooltip="&lt;5&gt; Цена иска по искам о праве собственности на объект недвижимого имущества, принадлежащий гражданину на праве собственности, согласно п. 9 ч. 1 ст. 91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
        <w:r>
          <w:rPr>
            <w:sz w:val="20"/>
            <w:color w:val="0000ff"/>
          </w:rPr>
          <w:t xml:space="preserve">&lt;5&gt;</w:t>
        </w:r>
      </w:hyperlink>
    </w:p>
    <w:p>
      <w:pPr>
        <w:pStyle w:val="0"/>
        <w:jc w:val="right"/>
      </w:pPr>
      <w:r>
        <w:rPr>
          <w:sz w:val="20"/>
        </w:rPr>
        <w:t xml:space="preserve">Госпошлина: __________________________ рублей </w:t>
      </w:r>
      <w:hyperlink w:history="0" w:anchor="P83" w:tooltip="&lt;6&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пп. 1 п. 1 ст. 333.19 Налогового кодекса Российской Федерации.">
        <w:r>
          <w:rPr>
            <w:sz w:val="20"/>
            <w:color w:val="0000ff"/>
          </w:rPr>
          <w:t xml:space="preserve">&lt;6&gt;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признании права собственности на объект недвижимости</w:t>
      </w:r>
    </w:p>
    <w:p>
      <w:pPr>
        <w:pStyle w:val="0"/>
        <w:jc w:val="center"/>
      </w:pPr>
      <w:r>
        <w:rPr>
          <w:sz w:val="20"/>
        </w:rPr>
        <w:t xml:space="preserve">(жилой дом, квартиру, жилое помещение)</w:t>
      </w:r>
    </w:p>
    <w:p>
      <w:pPr>
        <w:pStyle w:val="0"/>
        <w:jc w:val="center"/>
      </w:pPr>
      <w:r>
        <w:rPr>
          <w:sz w:val="20"/>
        </w:rPr>
        <w:t xml:space="preserve">в силу приобретательной давности</w:t>
      </w:r>
    </w:p>
    <w:p>
      <w:pPr>
        <w:pStyle w:val="0"/>
        <w:ind w:firstLine="540"/>
        <w:jc w:val="both"/>
      </w:pPr>
      <w:r>
        <w:rPr>
          <w:sz w:val="20"/>
        </w:rPr>
      </w:r>
    </w:p>
    <w:p>
      <w:pPr>
        <w:pStyle w:val="0"/>
        <w:ind w:firstLine="540"/>
        <w:jc w:val="both"/>
      </w:pPr>
      <w:r>
        <w:rPr>
          <w:sz w:val="20"/>
        </w:rPr>
        <w:t xml:space="preserve">Истец, в соответствии с ___________________________________________ (указать правоустанавливающий документ) от "___"____________ ____ г. N __________, является законным владельцем объекта недвижимости (жилого дома, квартиры, жилого помещения) общей площадью _____ кв. м, жилой площадью ________ кв. м, кадастровый номер __________________, по адресу: ___________________________________________.</w:t>
      </w:r>
    </w:p>
    <w:p>
      <w:pPr>
        <w:pStyle w:val="0"/>
        <w:spacing w:before="200" w:lineRule="auto"/>
        <w:ind w:firstLine="540"/>
        <w:jc w:val="both"/>
      </w:pPr>
      <w:r>
        <w:rPr>
          <w:sz w:val="20"/>
        </w:rPr>
        <w:t xml:space="preserve">Истец добросовестно, открыто и непрерывно владеет как своим собственным объектом недвижимости более пятнадцати лет, что подтверждается _________________________.</w:t>
      </w:r>
    </w:p>
    <w:p>
      <w:pPr>
        <w:pStyle w:val="0"/>
        <w:spacing w:before="200" w:lineRule="auto"/>
        <w:ind w:firstLine="540"/>
        <w:jc w:val="both"/>
      </w:pPr>
      <w:r>
        <w:rPr>
          <w:sz w:val="20"/>
        </w:rPr>
        <w:t xml:space="preserve">Государственная регистрация права Истца не совершалась.</w:t>
      </w:r>
    </w:p>
    <w:p>
      <w:pPr>
        <w:pStyle w:val="0"/>
        <w:spacing w:before="200" w:lineRule="auto"/>
        <w:ind w:firstLine="540"/>
        <w:jc w:val="both"/>
      </w:pPr>
      <w:r>
        <w:rPr>
          <w:sz w:val="20"/>
        </w:rPr>
        <w:t xml:space="preserve">Истец считает, что стал собственником имущества в силу приобретательной давности.</w:t>
      </w:r>
    </w:p>
    <w:p>
      <w:pPr>
        <w:pStyle w:val="0"/>
        <w:spacing w:before="200" w:lineRule="auto"/>
        <w:ind w:firstLine="540"/>
        <w:jc w:val="both"/>
      </w:pPr>
      <w:r>
        <w:rPr>
          <w:sz w:val="20"/>
        </w:rPr>
        <w:t xml:space="preserve">Ответчик не предпринимал каких-либо действий в отношении объекта недвижимости, не осуществлял в отношении его права собственника до обращения Истца с иском в суд. Доказательства принятия Ответчиком мер по содержанию объекта недвижимости / доказательства того, что Ответчик ранее оспаривал законность владения Истцом объектом недвижимости / доказательства заявления Ответчиком о своем праве собственности на объект недвижимости до обращения Истца в суд отсутствуют. Иски об истребовании объекта недвижимости у Истца не предъявлялись.</w:t>
      </w:r>
    </w:p>
    <w:p>
      <w:pPr>
        <w:pStyle w:val="0"/>
        <w:spacing w:before="200" w:lineRule="auto"/>
        <w:ind w:firstLine="540"/>
        <w:jc w:val="both"/>
      </w:pPr>
      <w:r>
        <w:rPr>
          <w:sz w:val="20"/>
        </w:rPr>
        <w:t xml:space="preserve">В соответствии с </w:t>
      </w:r>
      <w:hyperlink w:history="0" r:id="rId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Гражданского кодекса Российской Федерации защита гражданских прав осуществляется в том числе путем признания права.</w:t>
      </w:r>
    </w:p>
    <w:p>
      <w:pPr>
        <w:pStyle w:val="0"/>
        <w:spacing w:before="200" w:lineRule="auto"/>
        <w:ind w:firstLine="540"/>
        <w:jc w:val="both"/>
      </w:pPr>
      <w:r>
        <w:rPr>
          <w:sz w:val="20"/>
        </w:rPr>
        <w:t xml:space="preserve">Согласно </w:t>
      </w:r>
      <w:hyperlink w:history="0" r:id="rId8"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 3 ст. 218</w:t>
        </w:r>
      </w:hyperlink>
      <w:r>
        <w:rPr>
          <w:sz w:val="20"/>
        </w:rPr>
        <w:t xml:space="preserve"> Гражданского кодекса Российской Федерации в случаях и в порядке, предусмотренных Гражданским </w:t>
      </w:r>
      <w:hyperlink w:history="0" r:id="rId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00" w:lineRule="auto"/>
        <w:ind w:firstLine="540"/>
        <w:jc w:val="both"/>
      </w:pPr>
      <w:r>
        <w:rPr>
          <w:sz w:val="20"/>
        </w:rPr>
        <w:t xml:space="preserve">В силу </w:t>
      </w:r>
      <w:hyperlink w:history="0" r:id="rId1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1 п. 1 ст. 234</w:t>
        </w:r>
      </w:hyperlink>
      <w:r>
        <w:rPr>
          <w:sz w:val="20"/>
        </w:rPr>
        <w:t xml:space="preserve">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w:t>
      </w:r>
      <w:hyperlink w:history="0" r:id="rId1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 234</w:t>
        </w:r>
      </w:hyperlink>
      <w:r>
        <w:rPr>
          <w:sz w:val="20"/>
        </w:rPr>
        <w:t xml:space="preserve"> Гражданского кодекса Российской Федерации, в течение пятнадцати лет либо иным имуществом в течение пяти лет, приобретает право собственности на это имущество (приобретательная давность).</w:t>
      </w:r>
    </w:p>
    <w:p>
      <w:pPr>
        <w:pStyle w:val="0"/>
        <w:spacing w:before="200" w:lineRule="auto"/>
        <w:ind w:firstLine="540"/>
        <w:jc w:val="both"/>
      </w:pPr>
      <w:r>
        <w:rPr>
          <w:sz w:val="20"/>
        </w:rPr>
        <w:t xml:space="preserve">Вариант. В соответствии с </w:t>
      </w:r>
      <w:hyperlink w:history="0" r:id="rId1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 3 ст. 234</w:t>
        </w:r>
      </w:hyperlink>
      <w:r>
        <w:rPr>
          <w:sz w:val="20"/>
        </w:rPr>
        <w:t xml:space="preserve"> Гражданского кодекса Российской Федерации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ind w:firstLine="540"/>
        <w:jc w:val="both"/>
      </w:pPr>
      <w:r>
        <w:rPr>
          <w:sz w:val="20"/>
        </w:rPr>
      </w:r>
    </w:p>
    <w:p>
      <w:pPr>
        <w:pStyle w:val="0"/>
        <w:ind w:firstLine="540"/>
        <w:jc w:val="both"/>
      </w:pPr>
      <w:r>
        <w:rPr>
          <w:sz w:val="20"/>
        </w:rPr>
        <w:t xml:space="preserve">Иных лиц, оспаривающих права Истца, не имеется. Обременений предмета спора не имеется.</w:t>
      </w:r>
    </w:p>
    <w:p>
      <w:pPr>
        <w:pStyle w:val="0"/>
        <w:spacing w:before="200" w:lineRule="auto"/>
        <w:ind w:firstLine="540"/>
        <w:jc w:val="both"/>
      </w:pPr>
      <w:r>
        <w:rPr>
          <w:sz w:val="20"/>
        </w:rPr>
        <w:t xml:space="preserve">На основании вышеизложенного и в соответствии с </w:t>
      </w:r>
      <w:hyperlink w:history="0" r:id="rId1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 2 ст. 12</w:t>
        </w:r>
      </w:hyperlink>
      <w:r>
        <w:rPr>
          <w:sz w:val="20"/>
        </w:rPr>
        <w:t xml:space="preserve">, </w:t>
      </w:r>
      <w:hyperlink w:history="0" r:id="rId1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 3 ст. 218</w:t>
        </w:r>
      </w:hyperlink>
      <w:r>
        <w:rPr>
          <w:sz w:val="20"/>
        </w:rPr>
        <w:t xml:space="preserve">, </w:t>
      </w:r>
      <w:hyperlink w:history="0" r:id="rId1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 234</w:t>
        </w:r>
      </w:hyperlink>
      <w:r>
        <w:rPr>
          <w:sz w:val="20"/>
        </w:rPr>
        <w:t xml:space="preserve"> Гражданского кодекса Российской Федерации, руководствуясь </w:t>
      </w:r>
      <w:hyperlink w:history="0" r:id="rId16"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17"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признать право собственности Истца на объект недвижимости (жилой дом, квартиру, жилое помещение) общей площадью _____ кв. м, кадастровый номер _____, расположенный по адресу: _________________________, в силу приобретательной давности.</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Документ, удостоверяющий владение Истца объектом недвижимости (жилым домом, квартирой, жилым помещением), от "__"___________ ____ г. N _____ с приложениями.</w:t>
      </w:r>
    </w:p>
    <w:p>
      <w:pPr>
        <w:pStyle w:val="0"/>
        <w:spacing w:before="200" w:lineRule="auto"/>
        <w:ind w:firstLine="540"/>
        <w:jc w:val="both"/>
      </w:pPr>
      <w:r>
        <w:rPr>
          <w:sz w:val="20"/>
        </w:rPr>
        <w:t xml:space="preserve">2. Документы, подтверждающие добросовестное, открытое и непрерывное владение Истцом объектом недвижимости (жилым домом, квартирой, жилым помещением) </w:t>
      </w:r>
      <w:hyperlink w:history="0" w:anchor="P85" w:tooltip="&lt;7&gt; В соответствии с п. 15 Постановления Пленума Верховного Суда Российской Федерации N 10, Пленума Высшего Арбитражного Суда Российской Федерации N 22 от 29.04.2010 &quot;О некоторых вопросах, возникающих в судебной практике при разрешении споров, связанных с защитой права собственности и других вещных прав&quot; при разрешении споров, связанных с возникновением права собственности в силу приобретательной давности, судам необходимо учитывать следующее:">
        <w:r>
          <w:rPr>
            <w:sz w:val="20"/>
            <w:color w:val="0000ff"/>
          </w:rPr>
          <w:t xml:space="preserve">&lt;7&gt;</w:t>
        </w:r>
      </w:hyperlink>
      <w:r>
        <w:rPr>
          <w:sz w:val="20"/>
        </w:rPr>
        <w:t xml:space="preserve">.</w:t>
      </w:r>
    </w:p>
    <w:p>
      <w:pPr>
        <w:pStyle w:val="0"/>
        <w:spacing w:before="200" w:lineRule="auto"/>
        <w:ind w:firstLine="540"/>
        <w:jc w:val="both"/>
      </w:pPr>
      <w:r>
        <w:rPr>
          <w:sz w:val="20"/>
        </w:rPr>
        <w:t xml:space="preserve">3.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4.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pPr>
        <w:pStyle w:val="0"/>
        <w:spacing w:before="200" w:lineRule="auto"/>
        <w:ind w:firstLine="540"/>
        <w:jc w:val="both"/>
      </w:pPr>
      <w:r>
        <w:rPr>
          <w:sz w:val="20"/>
        </w:rPr>
        <w:t xml:space="preserve">5.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history="0" w:anchor="P78"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6.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__________________ (подпись) / 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75" w:name="P75"/>
    <w:bookmarkEnd w:id="75"/>
    <w:p>
      <w:pPr>
        <w:pStyle w:val="0"/>
        <w:spacing w:before="200" w:lineRule="auto"/>
        <w:ind w:firstLine="540"/>
        <w:jc w:val="both"/>
      </w:pPr>
      <w:r>
        <w:rPr>
          <w:sz w:val="20"/>
        </w:rPr>
        <w:t xml:space="preserve">&lt;1&gt; По смыслу </w:t>
      </w:r>
      <w:hyperlink w:history="0" r:id="rId18" w:tooltip="&quot;Гражданский процессуальный кодекс Российской Федерации&quot; от 14.11.2002 N 138-ФЗ (ред. от 31.07.2025) {КонсультантПлюс}">
        <w:r>
          <w:rPr>
            <w:sz w:val="20"/>
            <w:color w:val="0000ff"/>
          </w:rPr>
          <w:t xml:space="preserve">ст. ст. 23</w:t>
        </w:r>
      </w:hyperlink>
      <w:r>
        <w:rPr>
          <w:sz w:val="20"/>
        </w:rPr>
        <w:t xml:space="preserve">, </w:t>
      </w:r>
      <w:hyperlink w:history="0" r:id="rId19" w:tooltip="&quot;Гражданский процессуальный кодекс Российской Федерации&quot; от 14.11.2002 N 138-ФЗ (ред. от 31.07.2025) {КонсультантПлюс}">
        <w:r>
          <w:rPr>
            <w:sz w:val="20"/>
            <w:color w:val="0000ff"/>
          </w:rPr>
          <w:t xml:space="preserve">24</w:t>
        </w:r>
      </w:hyperlink>
      <w:r>
        <w:rPr>
          <w:sz w:val="20"/>
        </w:rPr>
        <w:t xml:space="preserve"> Гражданского процессуального кодекса Российской Федерации споры о признании права собственности на недвижимое имущество рассматриваются районным судом в качестве суда первой инстанции.</w:t>
      </w:r>
    </w:p>
    <w:p>
      <w:pPr>
        <w:pStyle w:val="0"/>
        <w:spacing w:before="200" w:lineRule="auto"/>
        <w:ind w:firstLine="540"/>
        <w:jc w:val="both"/>
      </w:pPr>
      <w:r>
        <w:rPr>
          <w:sz w:val="20"/>
        </w:rPr>
        <w:t xml:space="preserve">В силу </w:t>
      </w:r>
      <w:hyperlink w:history="0" r:id="rId20" w:tooltip="&quot;Гражданский процессуальный кодекс Российской Федерации&quot; от 14.11.2002 N 138-ФЗ (ред. от 31.07.2025) {КонсультантПлюс}">
        <w:r>
          <w:rPr>
            <w:sz w:val="20"/>
            <w:color w:val="0000ff"/>
          </w:rPr>
          <w:t xml:space="preserve">ч. 1 ст. 30</w:t>
        </w:r>
      </w:hyperlink>
      <w:r>
        <w:rPr>
          <w:sz w:val="20"/>
        </w:rPr>
        <w:t xml:space="preserve"> Гражданского процессуального кодекса Российской Федерации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 (исключительная подсудность).</w:t>
      </w:r>
    </w:p>
    <w:bookmarkStart w:id="77" w:name="P77"/>
    <w:bookmarkEnd w:id="77"/>
    <w:p>
      <w:pPr>
        <w:pStyle w:val="0"/>
        <w:spacing w:before="200" w:lineRule="auto"/>
        <w:ind w:firstLine="540"/>
        <w:jc w:val="both"/>
      </w:pPr>
      <w:r>
        <w:rPr>
          <w:sz w:val="20"/>
        </w:rPr>
        <w:t xml:space="preserve">&lt;2&gt; Перечень обязательных сведений об истце, которые необходимо указать в исковом заявлении, см. в </w:t>
      </w:r>
      <w:hyperlink w:history="0" r:id="rId21" w:tooltip="&quot;Гражданский процессуальный кодекс Российской Федерации&quot; от 14.11.2002 N 138-ФЗ (ред. от 31.07.2025) {КонсультантПлюс}">
        <w:r>
          <w:rPr>
            <w:sz w:val="20"/>
            <w:color w:val="0000ff"/>
          </w:rPr>
          <w:t xml:space="preserve">п. 2 ч. 2 ст. 131</w:t>
        </w:r>
      </w:hyperlink>
      <w:r>
        <w:rPr>
          <w:sz w:val="20"/>
        </w:rPr>
        <w:t xml:space="preserve"> Гражданского процессуального кодекса Российской Федерации.</w:t>
      </w:r>
    </w:p>
    <w:bookmarkStart w:id="78" w:name="P78"/>
    <w:bookmarkEnd w:id="78"/>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79" w:name="P79"/>
    <w:bookmarkEnd w:id="79"/>
    <w:p>
      <w:pPr>
        <w:pStyle w:val="0"/>
        <w:spacing w:before="200" w:lineRule="auto"/>
        <w:ind w:firstLine="540"/>
        <w:jc w:val="both"/>
      </w:pPr>
      <w:r>
        <w:rPr>
          <w:sz w:val="20"/>
        </w:rPr>
        <w:t xml:space="preserve">&lt;4&gt; Перечень обязательных сведений об ответчике, которые необходимо указать в исковом заявлении, см. в </w:t>
      </w:r>
      <w:hyperlink w:history="0" r:id="rId24" w:tooltip="&quot;Гражданский процессуальный кодекс Российской Федерации&quot; от 14.11.2002 N 138-ФЗ (ред. от 31.07.2025) {КонсультантПлюс}">
        <w:r>
          <w:rPr>
            <w:sz w:val="20"/>
            <w:color w:val="0000ff"/>
          </w:rPr>
          <w:t xml:space="preserve">п. 3 ч. 2 ст. 131</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В соответствии с </w:t>
      </w:r>
      <w:hyperlink w:history="0" r:id="rId25"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абз. 2</w:t>
        </w:r>
      </w:hyperlink>
      <w:r>
        <w:rPr>
          <w:sz w:val="20"/>
        </w:rPr>
        <w:t xml:space="preserve">, </w:t>
      </w:r>
      <w:hyperlink w:history="0" r:id="rId26"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3 п. 19</w:t>
        </w:r>
      </w:hyperlink>
      <w:r>
        <w:rPr>
          <w:sz w:val="20"/>
        </w:rP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ответчиком по иску о признании права собственности в силу приобретательной давности является прежний собственник имущества.</w:t>
      </w:r>
    </w:p>
    <w:p>
      <w:pPr>
        <w:pStyle w:val="0"/>
        <w:spacing w:before="200" w:lineRule="auto"/>
        <w:ind w:firstLine="540"/>
        <w:jc w:val="both"/>
      </w:pPr>
      <w:r>
        <w:rPr>
          <w:sz w:val="20"/>
        </w:rPr>
        <w:t xml:space="preserve">В случаях, когда прежний собственник недвижимого имущества не был и не должен был быть известен давностному владельцу, он вправе обратиться в суд с заявлением об установлении факта добросовестного, открытого и непрерывного владения имуществом как своим собственным в течение срока приобретательной давности. В качестве заинтересованного лица к участию в деле привлекается государственный регистратор.</w:t>
      </w:r>
    </w:p>
    <w:bookmarkStart w:id="82" w:name="P82"/>
    <w:bookmarkEnd w:id="82"/>
    <w:p>
      <w:pPr>
        <w:pStyle w:val="0"/>
        <w:spacing w:before="200" w:lineRule="auto"/>
        <w:ind w:firstLine="540"/>
        <w:jc w:val="both"/>
      </w:pPr>
      <w:r>
        <w:rPr>
          <w:sz w:val="20"/>
        </w:rPr>
        <w:t xml:space="preserve">&lt;5&gt; Цена иска по искам о праве собственности на объект недвижимого имущества, принадлежащий гражданину на праве собственности, согласно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п. 9 ч. 1 ст. 91</w:t>
        </w:r>
      </w:hyperlink>
      <w:r>
        <w:rPr>
          <w:sz w:val="20"/>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bookmarkStart w:id="83" w:name="P83"/>
    <w:bookmarkEnd w:id="83"/>
    <w:p>
      <w:pPr>
        <w:pStyle w:val="0"/>
        <w:spacing w:before="200" w:lineRule="auto"/>
        <w:ind w:firstLine="540"/>
        <w:jc w:val="both"/>
      </w:pPr>
      <w:r>
        <w:rPr>
          <w:sz w:val="20"/>
        </w:rPr>
        <w:t xml:space="preserve">&lt;6&gt;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w:history="0" r:id="rId28" w:tooltip="&quot;Налоговый кодекс Российской Федерации (часть вторая)&quot; от 05.08.2000 N 117-ФЗ (ред. от 27.10.2025) {КонсультантПлюс}">
        <w:r>
          <w:rPr>
            <w:sz w:val="20"/>
            <w:color w:val="0000ff"/>
          </w:rPr>
          <w:t xml:space="preserve">пп. 1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По вопросам, касающимся предоставления льгот по уплате госпошлины определенным категориям лиц, см. </w:t>
      </w:r>
      <w:hyperlink w:history="0" r:id="rId29" w:tooltip="&quot;Налоговый кодекс Российской Федерации (часть вторая)&quot; от 05.08.2000 N 117-ФЗ (ред. от 27.10.2025) {КонсультантПлюс}">
        <w:r>
          <w:rPr>
            <w:sz w:val="20"/>
            <w:color w:val="0000ff"/>
          </w:rPr>
          <w:t xml:space="preserve">ст. 333.35</w:t>
        </w:r>
      </w:hyperlink>
      <w:r>
        <w:rPr>
          <w:sz w:val="20"/>
        </w:rPr>
        <w:t xml:space="preserve">, </w:t>
      </w:r>
      <w:hyperlink w:history="0" r:id="rId30" w:tooltip="&quot;Налоговый кодекс Российской Федерации (часть вторая)&quot; от 05.08.2000 N 117-ФЗ (ред. от 27.10.2025) {КонсультантПлюс}">
        <w:r>
          <w:rPr>
            <w:sz w:val="20"/>
            <w:color w:val="0000ff"/>
          </w:rPr>
          <w:t xml:space="preserve">п. п. 2</w:t>
        </w:r>
      </w:hyperlink>
      <w:r>
        <w:rPr>
          <w:sz w:val="20"/>
        </w:rPr>
        <w:t xml:space="preserve"> и </w:t>
      </w:r>
      <w:hyperlink w:history="0" r:id="rId31" w:tooltip="&quot;Налоговый кодекс Российской Федерации (часть вторая)&quot; от 05.08.2000 N 117-ФЗ (ред. от 27.10.2025) {КонсультантПлюс}">
        <w:r>
          <w:rPr>
            <w:sz w:val="20"/>
            <w:color w:val="0000ff"/>
          </w:rPr>
          <w:t xml:space="preserve">3 ст. 333.36</w:t>
        </w:r>
      </w:hyperlink>
      <w:r>
        <w:rPr>
          <w:sz w:val="20"/>
        </w:rPr>
        <w:t xml:space="preserve"> Налогового кодекса Российской Федерации.</w:t>
      </w:r>
    </w:p>
    <w:bookmarkStart w:id="85" w:name="P85"/>
    <w:bookmarkEnd w:id="85"/>
    <w:p>
      <w:pPr>
        <w:pStyle w:val="0"/>
        <w:spacing w:before="200" w:lineRule="auto"/>
        <w:ind w:firstLine="540"/>
        <w:jc w:val="both"/>
      </w:pPr>
      <w:r>
        <w:rPr>
          <w:sz w:val="20"/>
        </w:rPr>
        <w:t xml:space="preserve">&lt;7&gt; В соответствии с </w:t>
      </w:r>
      <w:hyperlink w:history="0" r:id="rId32"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п. 15</w:t>
        </w:r>
      </w:hyperlink>
      <w:r>
        <w:rPr>
          <w:sz w:val="20"/>
        </w:rP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при разрешении споров, связанных с возникновением права собственности в силу приобретательной давности, судам необходимо учитывать следующее:</w:t>
      </w:r>
    </w:p>
    <w:p>
      <w:pPr>
        <w:pStyle w:val="0"/>
        <w:spacing w:before="200" w:lineRule="auto"/>
        <w:ind w:firstLine="540"/>
        <w:jc w:val="both"/>
      </w:pPr>
      <w:r>
        <w:rPr>
          <w:sz w:val="20"/>
        </w:rPr>
        <w:t xml:space="preserve">-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w:t>
      </w:r>
    </w:p>
    <w:p>
      <w:pPr>
        <w:pStyle w:val="0"/>
        <w:spacing w:before="200" w:lineRule="auto"/>
        <w:ind w:firstLine="540"/>
        <w:jc w:val="both"/>
      </w:pPr>
      <w:r>
        <w:rPr>
          <w:sz w:val="20"/>
        </w:rPr>
        <w:t xml:space="preserve">- давностное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w:t>
      </w:r>
    </w:p>
    <w:p>
      <w:pPr>
        <w:pStyle w:val="0"/>
        <w:spacing w:before="200" w:lineRule="auto"/>
        <w:ind w:firstLine="540"/>
        <w:jc w:val="both"/>
      </w:pPr>
      <w:r>
        <w:rPr>
          <w:sz w:val="20"/>
        </w:rPr>
        <w:t xml:space="preserve">- давностное владение признается непрерывным, если оно не прекращалось в течение всего срока приобретательной давности.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 признании права собственности на объект недвижимости (жилой дом, кварт...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 признании права собственности на объект недвижимости (жилой дом, кварт...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08490&amp;dst=100073" TargetMode = "External"/><Relationship Id="rId8" Type="http://schemas.openxmlformats.org/officeDocument/2006/relationships/hyperlink" Target="https://login.consultant.ru/link/?req=doc&amp;base=LAW&amp;n=508490&amp;dst=101176" TargetMode = "External"/><Relationship Id="rId9" Type="http://schemas.openxmlformats.org/officeDocument/2006/relationships/hyperlink" Target="https://login.consultant.ru/link/?req=doc&amp;base=LAW&amp;n=508490" TargetMode = "External"/><Relationship Id="rId10" Type="http://schemas.openxmlformats.org/officeDocument/2006/relationships/hyperlink" Target="https://login.consultant.ru/link/?req=doc&amp;base=LAW&amp;n=508490&amp;dst=101244" TargetMode = "External"/><Relationship Id="rId11" Type="http://schemas.openxmlformats.org/officeDocument/2006/relationships/hyperlink" Target="https://login.consultant.ru/link/?req=doc&amp;base=LAW&amp;n=508490&amp;dst=101243" TargetMode = "External"/><Relationship Id="rId12" Type="http://schemas.openxmlformats.org/officeDocument/2006/relationships/hyperlink" Target="https://login.consultant.ru/link/?req=doc&amp;base=LAW&amp;n=508490&amp;dst=101247" TargetMode = "External"/><Relationship Id="rId13" Type="http://schemas.openxmlformats.org/officeDocument/2006/relationships/hyperlink" Target="https://login.consultant.ru/link/?req=doc&amp;base=LAW&amp;n=508490&amp;dst=100073" TargetMode = "External"/><Relationship Id="rId14" Type="http://schemas.openxmlformats.org/officeDocument/2006/relationships/hyperlink" Target="https://login.consultant.ru/link/?req=doc&amp;base=LAW&amp;n=508490&amp;dst=101176" TargetMode = "External"/><Relationship Id="rId15" Type="http://schemas.openxmlformats.org/officeDocument/2006/relationships/hyperlink" Target="https://login.consultant.ru/link/?req=doc&amp;base=LAW&amp;n=508490&amp;dst=101243" TargetMode = "External"/><Relationship Id="rId16" Type="http://schemas.openxmlformats.org/officeDocument/2006/relationships/hyperlink" Target="https://login.consultant.ru/link/?req=doc&amp;base=LAW&amp;n=511272&amp;dst=100628" TargetMode = "External"/><Relationship Id="rId17" Type="http://schemas.openxmlformats.org/officeDocument/2006/relationships/hyperlink" Target="https://login.consultant.ru/link/?req=doc&amp;base=LAW&amp;n=511272&amp;dst=100643" TargetMode = "External"/><Relationship Id="rId18" Type="http://schemas.openxmlformats.org/officeDocument/2006/relationships/hyperlink" Target="https://login.consultant.ru/link/?req=doc&amp;base=LAW&amp;n=511272&amp;dst=100110" TargetMode = "External"/><Relationship Id="rId19" Type="http://schemas.openxmlformats.org/officeDocument/2006/relationships/hyperlink" Target="https://login.consultant.ru/link/?req=doc&amp;base=LAW&amp;n=511272&amp;dst=100122" TargetMode = "External"/><Relationship Id="rId20" Type="http://schemas.openxmlformats.org/officeDocument/2006/relationships/hyperlink" Target="https://login.consultant.ru/link/?req=doc&amp;base=LAW&amp;n=511272&amp;dst=102237" TargetMode = "External"/><Relationship Id="rId21" Type="http://schemas.openxmlformats.org/officeDocument/2006/relationships/hyperlink" Target="https://login.consultant.ru/link/?req=doc&amp;base=LAW&amp;n=511272&amp;dst=1944" TargetMode = "External"/><Relationship Id="rId22" Type="http://schemas.openxmlformats.org/officeDocument/2006/relationships/hyperlink" Target="https://login.consultant.ru/link/?req=doc&amp;base=LAW&amp;n=511272&amp;dst=1208" TargetMode = "External"/><Relationship Id="rId23" Type="http://schemas.openxmlformats.org/officeDocument/2006/relationships/hyperlink" Target="https://login.consultant.ru/link/?req=doc&amp;base=LAW&amp;n=511272&amp;dst=100253" TargetMode = "External"/><Relationship Id="rId24" Type="http://schemas.openxmlformats.org/officeDocument/2006/relationships/hyperlink" Target="https://login.consultant.ru/link/?req=doc&amp;base=LAW&amp;n=511272&amp;dst=1912" TargetMode = "External"/><Relationship Id="rId25" Type="http://schemas.openxmlformats.org/officeDocument/2006/relationships/hyperlink" Target="https://login.consultant.ru/link/?req=doc&amp;base=LAW&amp;n=464683&amp;dst=100066" TargetMode = "External"/><Relationship Id="rId26" Type="http://schemas.openxmlformats.org/officeDocument/2006/relationships/hyperlink" Target="https://login.consultant.ru/link/?req=doc&amp;base=LAW&amp;n=464683&amp;dst=100067" TargetMode = "External"/><Relationship Id="rId27" Type="http://schemas.openxmlformats.org/officeDocument/2006/relationships/hyperlink" Target="https://login.consultant.ru/link/?req=doc&amp;base=LAW&amp;n=511272&amp;dst=100435" TargetMode = "External"/><Relationship Id="rId28" Type="http://schemas.openxmlformats.org/officeDocument/2006/relationships/hyperlink" Target="https://login.consultant.ru/link/?req=doc&amp;base=LAW&amp;n=517473&amp;dst=12791" TargetMode = "External"/><Relationship Id="rId29" Type="http://schemas.openxmlformats.org/officeDocument/2006/relationships/hyperlink" Target="https://login.consultant.ru/link/?req=doc&amp;base=LAW&amp;n=517473&amp;dst=1225" TargetMode = "External"/><Relationship Id="rId30" Type="http://schemas.openxmlformats.org/officeDocument/2006/relationships/hyperlink" Target="https://login.consultant.ru/link/?req=doc&amp;base=LAW&amp;n=517473&amp;dst=11641" TargetMode = "External"/><Relationship Id="rId31" Type="http://schemas.openxmlformats.org/officeDocument/2006/relationships/hyperlink" Target="https://login.consultant.ru/link/?req=doc&amp;base=LAW&amp;n=517473&amp;dst=11647" TargetMode = "External"/><Relationship Id="rId32" Type="http://schemas.openxmlformats.org/officeDocument/2006/relationships/hyperlink" Target="https://login.consultant.ru/link/?req=doc&amp;base=LAW&amp;n=464683&amp;dst=10005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признании права собственности на объект недвижимости (жилой дом, квартиру, жилое помещение) в силу приобретательной давности
(Подготовлен для системы КонсультантПлюс, 2025)</dc:title>
  <dcterms:created xsi:type="dcterms:W3CDTF">2025-11-20T13:14:41Z</dcterms:created>
</cp:coreProperties>
</file>