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В </w:t>
      </w:r>
      <w:r w:rsidR="00D20AAB">
        <w:rPr>
          <w:rFonts w:ascii="Times New Roman" w:hAnsi="Times New Roman" w:cs="Times New Roman"/>
          <w:sz w:val="24"/>
          <w:szCs w:val="24"/>
        </w:rPr>
        <w:t>Когалымский</w:t>
      </w:r>
      <w:r w:rsidRPr="00F66975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2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CFD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Истец: ___________________________</w:t>
      </w:r>
      <w:r w:rsidR="00855CFD">
        <w:rPr>
          <w:rFonts w:ascii="Times New Roman" w:hAnsi="Times New Roman" w:cs="Times New Roman"/>
          <w:sz w:val="24"/>
          <w:szCs w:val="24"/>
        </w:rPr>
        <w:t>______________________</w:t>
      </w:r>
      <w:r w:rsidRPr="00F66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(Ф.И.О. наследника) </w:t>
      </w:r>
      <w:hyperlink w:anchor="P7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7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CFD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Ответчик: ________________________</w:t>
      </w:r>
      <w:r w:rsidR="00855CFD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  <w:r w:rsidRPr="00F66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(Ф.И.О. наследника) </w:t>
      </w:r>
      <w:hyperlink w:anchor="P7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 рублей </w:t>
      </w:r>
      <w:hyperlink w:anchor="P7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 рублей </w:t>
      </w:r>
      <w:hyperlink w:anchor="P7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о разделе наследственного имущества, находящегося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в общей долевой собственности наследников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(общая форма)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 20___ г. умер _____________________________, _______ года рождения (далее - наследодатель), что подтверждается свидетельством о смерти от "____"__________ 20___ г., серия _______ N ______. На основании _________________________________ истец и ответчик являются его наследниками.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"___"___________ 20___ г. нотариус _______________________ выдал: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истцу свидетельство о праве на наследство, серия ______________ N _____________, в размере _______ доли в общей собственности;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ответчику свидетельство о праве на наследство, серия ______________ N _____________, в размере _______ доли в общей собственности.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В состав наследства вошло следующее имущество: __________________________________________. Согласно ____________________________ стоимость наследственного имущества составляет</w:t>
      </w: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 ________________ (_________________) </w:t>
      </w:r>
      <w:proofErr w:type="gramEnd"/>
      <w:r w:rsidRPr="00F66975">
        <w:rPr>
          <w:rFonts w:ascii="Times New Roman" w:hAnsi="Times New Roman" w:cs="Times New Roman"/>
          <w:sz w:val="24"/>
          <w:szCs w:val="24"/>
        </w:rPr>
        <w:t>рублей.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 20___ г. истец предложил ответчику разделить наследство, находящееся в общей долевой собственности, в следующем порядке: ______________________________________. Однако ответчик отказался, что подтверждается ___________________________________________.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Требование истца от "___"__________ 20__ г. N _____ о заключении соглашения о разделе наследственного имущества ответчик добровольно не удовлетворил, сославшись на ____________________________________________ (или: осталось без ответа), что </w:t>
      </w:r>
      <w:r w:rsidRPr="00F66975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подтверждается _________________________________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ч. 1 ст. 1164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наследовании по закону, если наследственное имущество переходит к двум или нескольким наследникам и при наследовании по завещанию, если оно завещано двум или нескольким наследникам без указания наследуемого каждым из них конкретного имущества, наследственное имущество поступает со дня открытия наследства в общую долевую собственность наследников.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1 ст. 1165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наследственное имущество, которое находится в общей долевой собственности двух или нескольких наследников, может быть разделено по соглашению между ними.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3 ст. 252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66975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66975">
        <w:rPr>
          <w:rFonts w:ascii="Times New Roman" w:hAnsi="Times New Roman" w:cs="Times New Roman"/>
          <w:sz w:val="24"/>
          <w:szCs w:val="24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2 ст. 254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разделе общего имущества и выделе из него доли, если иное не предусмотрено законом или соглашением участников, их доли признаются равными.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>"___"__________ 20__ г. были предприняты действия, направленные на примирение, что подтверждается _______________________, но договоренности между сторонами достигнуто не было (или:</w:t>
      </w:r>
      <w:proofErr w:type="gramEnd"/>
      <w:r w:rsidRPr="00F66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975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</w:t>
      </w:r>
      <w:hyperlink r:id="rId10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3 ст. 252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2 ст. 254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ч. 1 ст. 1164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1 ст. 1165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кодекса,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ПРОШУ: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Разделить наследственное имущество следующим образом: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истцу _____________________________________;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ответчику _________________________________________.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Приложение: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 от "___"__________ 20__ г. N 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2. Копии свидетельств о праве на наследство истца и ответчика.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3. Документы, подтверждающие состав и стоимость наследственного имущества.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4. Копия требования (претензии) истца от "___"__________ 20__ г. N ___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5. Доказательства отказа ответчика от удовлетворения требования (претензии) истца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20__ г. N ___ (если исковое заявление подписывается </w:t>
      </w:r>
      <w:r w:rsidRPr="00F66975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представителем истца) </w:t>
      </w:r>
      <w:hyperlink w:anchor="P7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 20___ г.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_________________ (подпись) / _________________ (Ф.И.О.)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6975">
        <w:rPr>
          <w:rFonts w:ascii="Times New Roman" w:hAnsi="Times New Roman" w:cs="Times New Roman"/>
        </w:rPr>
        <w:t>Информация для сведения: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F66975">
        <w:rPr>
          <w:rFonts w:ascii="Times New Roman" w:hAnsi="Times New Roman" w:cs="Times New Roman"/>
        </w:rPr>
        <w:t>&lt;1&gt; Требование о разделе наследственного имущества подсудно районному суду (</w:t>
      </w:r>
      <w:hyperlink r:id="rId17">
        <w:r w:rsidRPr="00F66975">
          <w:rPr>
            <w:rFonts w:ascii="Times New Roman" w:hAnsi="Times New Roman" w:cs="Times New Roman"/>
            <w:color w:val="0000FF"/>
          </w:rPr>
          <w:t>ст. 24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F66975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 w:rsidRPr="00F66975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F66975">
        <w:rPr>
          <w:rFonts w:ascii="Times New Roman" w:hAnsi="Times New Roman" w:cs="Times New Roman"/>
        </w:rPr>
        <w:t>&lt;3</w:t>
      </w:r>
      <w:proofErr w:type="gramStart"/>
      <w:r w:rsidRPr="00F66975">
        <w:rPr>
          <w:rFonts w:ascii="Times New Roman" w:hAnsi="Times New Roman" w:cs="Times New Roman"/>
        </w:rPr>
        <w:t>&gt; О</w:t>
      </w:r>
      <w:proofErr w:type="gramEnd"/>
      <w:r w:rsidRPr="00F66975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F66975">
          <w:rPr>
            <w:rFonts w:ascii="Times New Roman" w:hAnsi="Times New Roman" w:cs="Times New Roman"/>
            <w:color w:val="0000FF"/>
          </w:rPr>
          <w:t>ст. ст. 49</w:t>
        </w:r>
      </w:hyperlink>
      <w:r w:rsidRPr="00F66975">
        <w:rPr>
          <w:rFonts w:ascii="Times New Roman" w:hAnsi="Times New Roman" w:cs="Times New Roman"/>
        </w:rPr>
        <w:t xml:space="preserve"> - </w:t>
      </w:r>
      <w:hyperlink r:id="rId20">
        <w:r w:rsidRPr="00F66975">
          <w:rPr>
            <w:rFonts w:ascii="Times New Roman" w:hAnsi="Times New Roman" w:cs="Times New Roman"/>
            <w:color w:val="0000FF"/>
          </w:rPr>
          <w:t>54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proofErr w:type="gramStart"/>
      <w:r w:rsidRPr="00F66975">
        <w:rPr>
          <w:rFonts w:ascii="Times New Roman" w:hAnsi="Times New Roman" w:cs="Times New Roman"/>
        </w:rP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1">
        <w:r w:rsidRPr="00F66975">
          <w:rPr>
            <w:rFonts w:ascii="Times New Roman" w:hAnsi="Times New Roman" w:cs="Times New Roman"/>
            <w:color w:val="0000FF"/>
          </w:rPr>
          <w:t>п. 9 ч. 1 ст. 91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F66975">
        <w:rPr>
          <w:rFonts w:ascii="Times New Roman" w:hAnsi="Times New Roman" w:cs="Times New Roman"/>
        </w:rPr>
        <w:t xml:space="preserve"> </w:t>
      </w:r>
      <w:proofErr w:type="gramStart"/>
      <w:r w:rsidRPr="00F66975">
        <w:rPr>
          <w:rFonts w:ascii="Times New Roman" w:hAnsi="Times New Roman" w:cs="Times New Roman"/>
        </w:rPr>
        <w:t>балансовой</w:t>
      </w:r>
      <w:proofErr w:type="gramEnd"/>
      <w:r w:rsidRPr="00F66975">
        <w:rPr>
          <w:rFonts w:ascii="Times New Roman" w:hAnsi="Times New Roman" w:cs="Times New Roman"/>
        </w:rPr>
        <w:t xml:space="preserve"> оценки объекта.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6"/>
      <w:bookmarkEnd w:id="5"/>
      <w:r w:rsidRPr="00F66975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2">
        <w:proofErr w:type="spellStart"/>
        <w:r w:rsidRPr="00F6697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66975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F6697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F66975">
        <w:rPr>
          <w:rFonts w:ascii="Times New Roman" w:hAnsi="Times New Roman" w:cs="Times New Roman"/>
        </w:rPr>
        <w:t xml:space="preserve">&lt;6&gt; Согласно </w:t>
      </w:r>
      <w:hyperlink r:id="rId23">
        <w:r w:rsidRPr="00F66975">
          <w:rPr>
            <w:rFonts w:ascii="Times New Roman" w:hAnsi="Times New Roman" w:cs="Times New Roman"/>
            <w:color w:val="0000FF"/>
          </w:rPr>
          <w:t>п. 3 ст. 132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E1DCF" w:rsidRPr="00F66975" w:rsidRDefault="000E1DCF" w:rsidP="00F66975">
      <w:pPr>
        <w:rPr>
          <w:rFonts w:ascii="Times New Roman" w:hAnsi="Times New Roman" w:cs="Times New Roman"/>
          <w:sz w:val="24"/>
          <w:szCs w:val="24"/>
        </w:rPr>
      </w:pPr>
    </w:p>
    <w:sectPr w:rsidR="000E1DCF" w:rsidRPr="00F66975" w:rsidSect="0098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75"/>
    <w:rsid w:val="000B7133"/>
    <w:rsid w:val="000E1DCF"/>
    <w:rsid w:val="00855CFD"/>
    <w:rsid w:val="00C65244"/>
    <w:rsid w:val="00D20AAB"/>
    <w:rsid w:val="00F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7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6697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7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6697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EC4B851B8CE6A0ABEC0A41058793060BF25647FCF9413C4E08D49D6BB4C5F9FF701E641BBECA33600597499ABD17A6FA17BD491F549F3O4sED" TargetMode="External"/><Relationship Id="rId13" Type="http://schemas.openxmlformats.org/officeDocument/2006/relationships/hyperlink" Target="consultantplus://offline/ref=739EC4B851B8CE6A0ABEC0A41058793067B624647BC19413C4E08D49D6BB4C5F9FF701E641BAEDA93A00597499ABD17A6FA17BD491F549F3O4sED" TargetMode="External"/><Relationship Id="rId18" Type="http://schemas.openxmlformats.org/officeDocument/2006/relationships/hyperlink" Target="consultantplus://offline/ref=739EC4B851B8CE6A0ABEC0A41058793060BD2B657CC19413C4E08D49D6BB4C5F9FF701E648BBEDAA665A4970D0FCDC666FBE65D78FF5O4s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9EC4B851B8CE6A0ABEC0A41058793060BD2B657CC19413C4E08D49D6BB4C5F9FF701E641BAEBA23700597499ABD17A6FA17BD491F549F3O4sED" TargetMode="External"/><Relationship Id="rId7" Type="http://schemas.openxmlformats.org/officeDocument/2006/relationships/hyperlink" Target="consultantplus://offline/ref=739EC4B851B8CE6A0ABEC0A41058793060BF25647FCF9413C4E08D49D6BB4C5F9FF701E641BBECA33000597499ABD17A6FA17BD491F549F3O4sED" TargetMode="External"/><Relationship Id="rId12" Type="http://schemas.openxmlformats.org/officeDocument/2006/relationships/hyperlink" Target="consultantplus://offline/ref=739EC4B851B8CE6A0ABEC0A41058793060BF25647FCF9413C4E08D49D6BB4C5F9FF701E641BBECA23400597499ABD17A6FA17BD491F549F3O4sED" TargetMode="External"/><Relationship Id="rId17" Type="http://schemas.openxmlformats.org/officeDocument/2006/relationships/hyperlink" Target="consultantplus://offline/ref=739EC4B851B8CE6A0ABEC0A41058793060BD2B657CC19413C4E08D49D6BB4C5F9FF701E641BAEEA33000597499ABD17A6FA17BD491F549F3O4sED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9EC4B851B8CE6A0ABEC0A41058793060BD2B657CC19413C4E08D49D6BB4C5F9FF701E643BDEEAA665A4970D0FCDC666FBE65D78FF5O4sAD" TargetMode="External"/><Relationship Id="rId20" Type="http://schemas.openxmlformats.org/officeDocument/2006/relationships/hyperlink" Target="consultantplus://offline/ref=739EC4B851B8CE6A0ABEC0A41058793060BD2B657CC19413C4E08D49D6BB4C5F9FF701E641BAEDA43100597499ABD17A6FA17BD491F549F3O4s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EC4B851B8CE6A0ABEC0A41058793067B624647BC19413C4E08D49D6BB4C5F9FF701E641BAEDA83300597499ABD17A6FA17BD491F549F3O4sED" TargetMode="External"/><Relationship Id="rId11" Type="http://schemas.openxmlformats.org/officeDocument/2006/relationships/hyperlink" Target="consultantplus://offline/ref=739EC4B851B8CE6A0ABEC0A41058793060BF25647FCF9413C4E08D49D6BB4C5F9FF701E641BBECA33600597499ABD17A6FA17BD491F549F3O4sE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39EC4B851B8CE6A0ABEC0A41058793067B624647BC19413C4E08D49D6BB4C5F9FF701E641BAEDA93A00597499ABD17A6FA17BD491F549F3O4sED" TargetMode="External"/><Relationship Id="rId15" Type="http://schemas.openxmlformats.org/officeDocument/2006/relationships/hyperlink" Target="consultantplus://offline/ref=739EC4B851B8CE6A0ABEC0A41058793060BD2B657CC19413C4E08D49D6BB4C5F9FF701E641BAE9A33A00597499ABD17A6FA17BD491F549F3O4sED" TargetMode="External"/><Relationship Id="rId23" Type="http://schemas.openxmlformats.org/officeDocument/2006/relationships/hyperlink" Target="consultantplus://offline/ref=739EC4B851B8CE6A0ABEC0A41058793060BD2B657CC19413C4E08D49D6BB4C5F9FF701E643BDEAAA665A4970D0FCDC666FBE65D78FF5O4sAD" TargetMode="External"/><Relationship Id="rId10" Type="http://schemas.openxmlformats.org/officeDocument/2006/relationships/hyperlink" Target="consultantplus://offline/ref=739EC4B851B8CE6A0ABEC0A41058793060BF25647FCF9413C4E08D49D6BB4C5F9FF701E641BBECA33000597499ABD17A6FA17BD491F549F3O4sED" TargetMode="External"/><Relationship Id="rId19" Type="http://schemas.openxmlformats.org/officeDocument/2006/relationships/hyperlink" Target="consultantplus://offline/ref=739EC4B851B8CE6A0ABEC0A41058793060BD2B657CC19413C4E08D49D6BB4C5F9FF701E643BAE7AA665A4970D0FCDC666FBE65D78FF5O4s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9EC4B851B8CE6A0ABEC0A41058793060BF25647FCF9413C4E08D49D6BB4C5F9FF701E641BBECA23400597499ABD17A6FA17BD491F549F3O4sED" TargetMode="External"/><Relationship Id="rId14" Type="http://schemas.openxmlformats.org/officeDocument/2006/relationships/hyperlink" Target="consultantplus://offline/ref=739EC4B851B8CE6A0ABEC0A41058793067B624647BC19413C4E08D49D6BB4C5F9FF701E641BAEDA83300597499ABD17A6FA17BD491F549F3O4sED" TargetMode="External"/><Relationship Id="rId22" Type="http://schemas.openxmlformats.org/officeDocument/2006/relationships/hyperlink" Target="consultantplus://offline/ref=739EC4B851B8CE6A0ABEC0A41058793060BE2F677EC09413C4E08D49D6BB4C5F9FF701E643BDE6A0395F5C6188F3DE7871BF7ACB8DF74BOFs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2026-04-22T06:43:00Z</dcterms:created>
  <dcterms:modified xsi:type="dcterms:W3CDTF">2026-04-27T10:58:00Z</dcterms:modified>
</cp:coreProperties>
</file>