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CCF" w:rsidRPr="00DE5CCF" w:rsidRDefault="00DE5CCF" w:rsidP="00DE5CCF">
      <w:pPr>
        <w:pStyle w:val="a3"/>
        <w:spacing w:before="0" w:beforeAutospacing="0" w:after="0" w:afterAutospacing="0"/>
        <w:ind w:firstLine="567"/>
        <w:jc w:val="center"/>
        <w:rPr>
          <w:sz w:val="20"/>
          <w:szCs w:val="20"/>
        </w:rPr>
      </w:pPr>
      <w:bookmarkStart w:id="0" w:name="_GoBack"/>
      <w:r w:rsidRPr="00DE5CCF">
        <w:rPr>
          <w:b/>
          <w:bCs/>
          <w:sz w:val="20"/>
          <w:szCs w:val="20"/>
        </w:rPr>
        <w:t>Особенности уплаты государственной пошлины (ст. 333.20 НК РФ)</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гражданским процессуальным законодательством Российской Федерации, законодательством об административном судопроизводстве;</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если спор о признании права собственности истца (истцов) на это имущество ранее не решался судом - в соответствии с подпунктом 1 пункта 1 статьи 333.19 настоящего Кодекса;</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если ранее суд вынес решение о признании права собственности истца (истцов) на указанное имущество - в соответствии с подпунктом 3 пункта 1 статьи 333.19 настоящего Кодекса;</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статьи 333.19 настоящего Кодекса;</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подпунктом 2 пункта 1 статьи 333.18 настоящего Кодекса;</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10)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подпунктом 2 пункта 1 статьи 333.18 настоящего Кодекса. При уменьшении истцом размера исковых требований сумма излишне уплаченной государственной пошлины возвращается в порядке, предусмотренном статьей 333.40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11) при подаче исковых заявлений об истребовании наследниками принадлежащей им доли имущества государственная пошлина уплачивается в том порядке,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12) при подаче исковых заявлений о расторжении брака с одновременным разделом совместно нажитого имущества супругов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14) утратил силу. - Федеральный закон от 27.12.2009 N 374-ФЗ;</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lastRenderedPageBreak/>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DE5CCF" w:rsidRPr="00DE5CCF" w:rsidRDefault="00DE5CCF" w:rsidP="00DE5CCF">
      <w:pPr>
        <w:pStyle w:val="a3"/>
        <w:spacing w:before="0" w:beforeAutospacing="0" w:after="0" w:afterAutospacing="0"/>
        <w:ind w:firstLine="567"/>
        <w:jc w:val="both"/>
        <w:rPr>
          <w:sz w:val="20"/>
          <w:szCs w:val="20"/>
        </w:rPr>
      </w:pPr>
      <w:r w:rsidRPr="00DE5CCF">
        <w:rPr>
          <w:sz w:val="20"/>
          <w:szCs w:val="20"/>
        </w:rPr>
        <w:t>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статьей 333.41 настоящего Кодекса.</w:t>
      </w:r>
    </w:p>
    <w:bookmarkEnd w:id="0"/>
    <w:p w:rsidR="00D62ECD" w:rsidRDefault="00DE5CCF"/>
    <w:sectPr w:rsidR="00D62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CF"/>
    <w:rsid w:val="006C1A04"/>
    <w:rsid w:val="00D16525"/>
    <w:rsid w:val="00DE5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83F5A-7FDE-4414-A775-343D90EC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5C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5768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Аяжы</dc:creator>
  <cp:keywords/>
  <dc:description/>
  <cp:lastModifiedBy>Аяжы</cp:lastModifiedBy>
  <cp:revision>1</cp:revision>
  <dcterms:created xsi:type="dcterms:W3CDTF">2026-03-31T09:29:00Z</dcterms:created>
  <dcterms:modified xsi:type="dcterms:W3CDTF">2026-03-31T09:29:00Z</dcterms:modified>
</cp:coreProperties>
</file>