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45" w:rsidRDefault="002118E9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2338070</wp:posOffset>
                </wp:positionH>
                <wp:positionV relativeFrom="page">
                  <wp:posOffset>3373120</wp:posOffset>
                </wp:positionV>
                <wp:extent cx="170815" cy="338455"/>
                <wp:effectExtent l="4445" t="1270" r="0" b="31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338455"/>
                        </a:xfrm>
                        <a:prstGeom prst="rect">
                          <a:avLst/>
                        </a:prstGeom>
                        <a:solidFill>
                          <a:srgbClr val="02020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4.1pt;margin-top:265.6pt;width:13.45pt;height:2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" fillcolor="#020202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2432685</wp:posOffset>
                </wp:positionH>
                <wp:positionV relativeFrom="page">
                  <wp:posOffset>4488815</wp:posOffset>
                </wp:positionV>
                <wp:extent cx="216535" cy="140335"/>
                <wp:effectExtent l="3810" t="254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40335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1.55pt;margin-top:353.45pt;width:17.05pt;height:11.0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" fillcolor="#010101" stroked="f">
                <w10:wrap anchorx="page" anchory="page"/>
              </v:rect>
            </w:pict>
          </mc:Fallback>
        </mc:AlternateContent>
      </w:r>
    </w:p>
    <w:p w:rsidR="00954D45" w:rsidRDefault="00733FDE">
      <w:pPr>
        <w:pStyle w:val="20"/>
        <w:framePr w:w="8952" w:h="3140" w:hRule="exact" w:wrap="none" w:vAnchor="page" w:hAnchor="page" w:x="1893" w:y="1439"/>
        <w:shd w:val="clear" w:color="auto" w:fill="auto"/>
        <w:ind w:right="20"/>
      </w:pPr>
      <w:r>
        <w:t>Для удобства внесения денежных средств</w:t>
      </w:r>
      <w:r>
        <w:br/>
        <w:t>на депозитный счет УСД в Белгородской области</w:t>
      </w:r>
      <w:r>
        <w:br/>
        <w:t xml:space="preserve">можно воспользоваться </w:t>
      </w:r>
      <w:r>
        <w:rPr>
          <w:lang w:val="en-US" w:eastAsia="en-US" w:bidi="en-US"/>
        </w:rPr>
        <w:t>QR</w:t>
      </w:r>
      <w:r>
        <w:t>-кодом</w:t>
      </w:r>
    </w:p>
    <w:p w:rsidR="00954D45" w:rsidRDefault="00733FDE">
      <w:pPr>
        <w:pStyle w:val="20"/>
        <w:framePr w:w="8952" w:h="3140" w:hRule="exact" w:wrap="none" w:vAnchor="page" w:hAnchor="page" w:x="1893" w:y="1439"/>
        <w:numPr>
          <w:ilvl w:val="0"/>
          <w:numId w:val="1"/>
        </w:numPr>
        <w:shd w:val="clear" w:color="auto" w:fill="auto"/>
        <w:tabs>
          <w:tab w:val="left" w:pos="778"/>
        </w:tabs>
        <w:ind w:left="420"/>
        <w:jc w:val="both"/>
      </w:pPr>
      <w:r>
        <w:t>Откройте мобильное приложение банка.</w:t>
      </w:r>
    </w:p>
    <w:p w:rsidR="00954D45" w:rsidRDefault="00733FDE">
      <w:pPr>
        <w:pStyle w:val="20"/>
        <w:framePr w:w="8952" w:h="3140" w:hRule="exact" w:wrap="none" w:vAnchor="page" w:hAnchor="page" w:x="1893" w:y="1439"/>
        <w:numPr>
          <w:ilvl w:val="0"/>
          <w:numId w:val="1"/>
        </w:numPr>
        <w:shd w:val="clear" w:color="auto" w:fill="auto"/>
        <w:tabs>
          <w:tab w:val="left" w:pos="807"/>
        </w:tabs>
        <w:spacing w:after="56" w:line="280" w:lineRule="exact"/>
        <w:ind w:left="420"/>
        <w:jc w:val="both"/>
      </w:pPr>
      <w:r>
        <w:t xml:space="preserve">Выберите оплату по </w:t>
      </w:r>
      <w:r>
        <w:rPr>
          <w:lang w:val="en-US" w:eastAsia="en-US" w:bidi="en-US"/>
        </w:rPr>
        <w:t>QR</w:t>
      </w:r>
      <w:r>
        <w:t>-коду.</w:t>
      </w:r>
    </w:p>
    <w:p w:rsidR="00954D45" w:rsidRDefault="00733FDE">
      <w:pPr>
        <w:pStyle w:val="20"/>
        <w:framePr w:w="8952" w:h="3140" w:hRule="exact" w:wrap="none" w:vAnchor="page" w:hAnchor="page" w:x="1893" w:y="1439"/>
        <w:numPr>
          <w:ilvl w:val="0"/>
          <w:numId w:val="1"/>
        </w:numPr>
        <w:shd w:val="clear" w:color="auto" w:fill="auto"/>
        <w:tabs>
          <w:tab w:val="left" w:pos="807"/>
        </w:tabs>
        <w:spacing w:line="280" w:lineRule="exact"/>
        <w:ind w:left="420"/>
        <w:jc w:val="both"/>
      </w:pPr>
      <w:r>
        <w:t xml:space="preserve">Наведите камеру телефона на </w:t>
      </w:r>
      <w:r>
        <w:rPr>
          <w:lang w:val="en-US" w:eastAsia="en-US" w:bidi="en-US"/>
        </w:rPr>
        <w:t>QR</w:t>
      </w:r>
      <w:r>
        <w:t>-код.</w:t>
      </w:r>
    </w:p>
    <w:p w:rsidR="00954D45" w:rsidRDefault="002118E9">
      <w:pPr>
        <w:framePr w:wrap="none" w:vAnchor="page" w:hAnchor="page" w:x="1989" w:y="475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76500" cy="2529840"/>
            <wp:effectExtent l="0" t="0" r="0" b="3810"/>
            <wp:docPr id="1" name="Рисунок 1" descr="C:\Users\vspec_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pec_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45" w:rsidRDefault="00733FDE">
      <w:pPr>
        <w:pStyle w:val="20"/>
        <w:framePr w:w="8952" w:h="5753" w:hRule="exact" w:wrap="none" w:vAnchor="page" w:hAnchor="page" w:x="1893" w:y="8963"/>
        <w:shd w:val="clear" w:color="auto" w:fill="auto"/>
        <w:spacing w:after="128" w:line="398" w:lineRule="exact"/>
        <w:jc w:val="both"/>
      </w:pPr>
      <w:r>
        <w:t>В назначении платежа в обязательном порядке указывается наименование суда, ФИО плательщика, № судебного дела и причина перечисления дене</w:t>
      </w:r>
      <w:r>
        <w:t>жных средств на депозитный счет.</w:t>
      </w:r>
    </w:p>
    <w:p w:rsidR="00954D45" w:rsidRDefault="00733FDE">
      <w:pPr>
        <w:pStyle w:val="20"/>
        <w:framePr w:w="8952" w:h="5753" w:hRule="exact" w:wrap="none" w:vAnchor="page" w:hAnchor="page" w:x="1893" w:y="8963"/>
        <w:shd w:val="clear" w:color="auto" w:fill="auto"/>
        <w:spacing w:after="189" w:line="389" w:lineRule="exact"/>
        <w:jc w:val="both"/>
      </w:pPr>
      <w:r>
        <w:t>При оплате через Сбербанк-онлайн КБК указывается 0, в поле «Код ПОД» указывается значение из 4-х символов:</w:t>
      </w:r>
    </w:p>
    <w:p w:rsidR="00954D45" w:rsidRDefault="00733FDE">
      <w:pPr>
        <w:pStyle w:val="30"/>
        <w:framePr w:w="8952" w:h="5753" w:hRule="exact" w:wrap="none" w:vAnchor="page" w:hAnchor="page" w:x="1893" w:y="8963"/>
        <w:shd w:val="clear" w:color="auto" w:fill="auto"/>
        <w:spacing w:before="0"/>
      </w:pPr>
      <w:r>
        <w:t>0024 - уголовное дело (УПК);</w:t>
      </w:r>
    </w:p>
    <w:p w:rsidR="00954D45" w:rsidRDefault="00733FDE">
      <w:pPr>
        <w:pStyle w:val="30"/>
        <w:framePr w:w="8952" w:h="5753" w:hRule="exact" w:wrap="none" w:vAnchor="page" w:hAnchor="page" w:x="1893" w:y="8963"/>
        <w:numPr>
          <w:ilvl w:val="0"/>
          <w:numId w:val="2"/>
        </w:numPr>
        <w:shd w:val="clear" w:color="auto" w:fill="auto"/>
        <w:tabs>
          <w:tab w:val="left" w:pos="694"/>
        </w:tabs>
        <w:spacing w:before="0"/>
      </w:pPr>
      <w:r>
        <w:t>- административное дело (КАС);</w:t>
      </w:r>
    </w:p>
    <w:p w:rsidR="00954D45" w:rsidRDefault="00733FDE">
      <w:pPr>
        <w:pStyle w:val="30"/>
        <w:framePr w:w="8952" w:h="5753" w:hRule="exact" w:wrap="none" w:vAnchor="page" w:hAnchor="page" w:x="1893" w:y="8963"/>
        <w:numPr>
          <w:ilvl w:val="0"/>
          <w:numId w:val="2"/>
        </w:numPr>
        <w:shd w:val="clear" w:color="auto" w:fill="auto"/>
        <w:tabs>
          <w:tab w:val="left" w:pos="694"/>
        </w:tabs>
        <w:spacing w:before="0"/>
      </w:pPr>
      <w:r>
        <w:t>- гражданское дело (ГПК);</w:t>
      </w:r>
    </w:p>
    <w:p w:rsidR="00954D45" w:rsidRDefault="00733FDE">
      <w:pPr>
        <w:pStyle w:val="30"/>
        <w:framePr w:w="8952" w:h="5753" w:hRule="exact" w:wrap="none" w:vAnchor="page" w:hAnchor="page" w:x="1893" w:y="8963"/>
        <w:shd w:val="clear" w:color="auto" w:fill="auto"/>
        <w:spacing w:before="0" w:after="258"/>
      </w:pPr>
      <w:r>
        <w:t xml:space="preserve">0038 - административное </w:t>
      </w:r>
      <w:r>
        <w:t>правонарушение (КоАП)</w:t>
      </w:r>
    </w:p>
    <w:p w:rsidR="00954D45" w:rsidRDefault="00733FDE">
      <w:pPr>
        <w:pStyle w:val="20"/>
        <w:framePr w:w="8952" w:h="5753" w:hRule="exact" w:wrap="none" w:vAnchor="page" w:hAnchor="page" w:x="1893" w:y="8963"/>
        <w:shd w:val="clear" w:color="auto" w:fill="auto"/>
        <w:spacing w:after="140" w:line="280" w:lineRule="exact"/>
        <w:jc w:val="both"/>
      </w:pPr>
      <w:r>
        <w:t>При оплате через ВТБ-онлайн код НПА указывается в поле «УИН».</w:t>
      </w:r>
    </w:p>
    <w:p w:rsidR="00954D45" w:rsidRDefault="00733FDE">
      <w:pPr>
        <w:pStyle w:val="20"/>
        <w:framePr w:w="8952" w:h="5753" w:hRule="exact" w:wrap="none" w:vAnchor="page" w:hAnchor="page" w:x="1893" w:y="8963"/>
        <w:shd w:val="clear" w:color="auto" w:fill="auto"/>
        <w:spacing w:after="211" w:line="394" w:lineRule="exact"/>
        <w:jc w:val="both"/>
      </w:pPr>
      <w:r>
        <w:t xml:space="preserve">Комиссия за перечисление денежных средств при оплате через Сбербанк-онлайн взимается </w:t>
      </w:r>
      <w:r>
        <w:rPr>
          <w:rStyle w:val="21"/>
        </w:rPr>
        <w:t>в размере 1%.</w:t>
      </w:r>
    </w:p>
    <w:p w:rsidR="00954D45" w:rsidRDefault="00733FDE">
      <w:pPr>
        <w:pStyle w:val="20"/>
        <w:framePr w:w="8952" w:h="5753" w:hRule="exact" w:wrap="none" w:vAnchor="page" w:hAnchor="page" w:x="1893" w:y="8963"/>
        <w:shd w:val="clear" w:color="auto" w:fill="auto"/>
        <w:spacing w:line="280" w:lineRule="exact"/>
        <w:jc w:val="both"/>
      </w:pPr>
      <w:r>
        <w:t xml:space="preserve">При перечислении через ВТБ-онлайн комиссия </w:t>
      </w:r>
      <w:r>
        <w:rPr>
          <w:rStyle w:val="21"/>
        </w:rPr>
        <w:t>не взимается.</w:t>
      </w:r>
    </w:p>
    <w:p w:rsidR="00954D45" w:rsidRDefault="00954D45">
      <w:pPr>
        <w:rPr>
          <w:sz w:val="2"/>
          <w:szCs w:val="2"/>
        </w:rPr>
      </w:pPr>
    </w:p>
    <w:sectPr w:rsidR="00954D4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DE" w:rsidRDefault="00733FDE">
      <w:r>
        <w:separator/>
      </w:r>
    </w:p>
  </w:endnote>
  <w:endnote w:type="continuationSeparator" w:id="0">
    <w:p w:rsidR="00733FDE" w:rsidRDefault="0073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DE" w:rsidRDefault="00733FDE"/>
  </w:footnote>
  <w:footnote w:type="continuationSeparator" w:id="0">
    <w:p w:rsidR="00733FDE" w:rsidRDefault="00733F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2AB2"/>
    <w:multiLevelType w:val="multilevel"/>
    <w:tmpl w:val="52807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2B2455"/>
    <w:multiLevelType w:val="multilevel"/>
    <w:tmpl w:val="1B82A300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45"/>
    <w:rsid w:val="002118E9"/>
    <w:rsid w:val="00733FDE"/>
    <w:rsid w:val="0095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9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02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9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02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vspec_1</dc:creator>
  <cp:lastModifiedBy>vspec_1</cp:lastModifiedBy>
  <cp:revision>1</cp:revision>
  <dcterms:created xsi:type="dcterms:W3CDTF">2026-05-26T09:33:00Z</dcterms:created>
  <dcterms:modified xsi:type="dcterms:W3CDTF">2026-05-26T09:34:00Z</dcterms:modified>
</cp:coreProperties>
</file>