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6604"/>
      </w:tblGrid>
      <w:tr w:rsidR="003331D9" w:rsidTr="003331D9">
        <w:tc>
          <w:tcPr>
            <w:tcW w:w="1743" w:type="pct"/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7" w:type="pct"/>
            <w:hideMark/>
          </w:tcPr>
          <w:p w:rsidR="003331D9" w:rsidRDefault="003331D9">
            <w:pPr>
              <w:spacing w:after="0" w:line="240" w:lineRule="auto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      </w:r>
            <w:r w:rsidR="00AD5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Судебного департамента в Белгородской области  и урегулированию конфликта интересов </w:t>
            </w:r>
          </w:p>
          <w:tbl>
            <w:tblPr>
              <w:tblStyle w:val="a5"/>
              <w:tblW w:w="5981" w:type="dxa"/>
              <w:tblInd w:w="0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Pr="00AF5801" w:rsidRDefault="003331D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F5801">
                    <w:rPr>
                      <w:rFonts w:ascii="Times New Roman" w:hAnsi="Times New Roman" w:cs="Times New Roman"/>
                      <w:i/>
                    </w:rPr>
                    <w:t>(наименование занимаемой должности, Ф.И.О.)</w:t>
                  </w:r>
                </w:p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31D9" w:rsidRDefault="00333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23"/>
        <w:gridCol w:w="7515"/>
      </w:tblGrid>
      <w:tr w:rsidR="003331D9" w:rsidTr="003331D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331D9" w:rsidRDefault="003331D9" w:rsidP="003331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21"/>
        <w:gridCol w:w="7517"/>
      </w:tblGrid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/ не намереваюсь лично присутствовать на заседании </w:t>
      </w:r>
      <w:r w:rsidR="00AD57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5793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</w:r>
      <w:r w:rsidR="00AD5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507B9B" w:rsidRDefault="00507B9B"/>
    <w:sectPr w:rsidR="00507B9B" w:rsidSect="003331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9"/>
    <w:rsid w:val="003331D9"/>
    <w:rsid w:val="00507B9B"/>
    <w:rsid w:val="00AD5793"/>
    <w:rsid w:val="00AF5801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Никитина Елена Викторовна</cp:lastModifiedBy>
  <cp:revision>3</cp:revision>
  <dcterms:created xsi:type="dcterms:W3CDTF">2024-08-09T07:51:00Z</dcterms:created>
  <dcterms:modified xsi:type="dcterms:W3CDTF">2025-07-23T12:14:00Z</dcterms:modified>
</cp:coreProperties>
</file>