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635"/>
      </w:tblGrid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Извещение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ОКЦ № 7 ГУ Банка России по Центральному федеральному округу // 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>
              <w:rPr>
                <w:i/>
                <w:iCs/>
                <w:sz w:val="16"/>
                <w:szCs w:val="16"/>
                <w:lang w:val="en-US"/>
              </w:rPr>
              <w:t>7</w:t>
            </w:r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>КБК 18210803010011060110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ОКЦ № 7 ГУ Банка России по Центральному федеральному округу // 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</w:t>
            </w:r>
            <w:r>
              <w:rPr>
                <w:i/>
                <w:iCs/>
                <w:sz w:val="16"/>
                <w:szCs w:val="16"/>
                <w:lang w:val="en-US"/>
              </w:rPr>
              <w:t>7</w:t>
            </w:r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 xml:space="preserve">КБК </w:t>
            </w:r>
            <w:r>
              <w:t>18210803010011060110</w:t>
            </w:r>
            <w:bookmarkStart w:id="0" w:name="_GoBack"/>
            <w:bookmarkEnd w:id="0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spacing w:before="100" w:beforeAutospacing="1" w:after="100" w:afterAutospacing="1"/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>Krokoz™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creator>eugene</dc:creator>
  <cp:lastModifiedBy>Пользователь</cp:lastModifiedBy>
  <cp:revision>4</cp:revision>
  <cp:lastPrinted>2010-01-13T06:47:00Z</cp:lastPrinted>
  <dcterms:created xsi:type="dcterms:W3CDTF">2025-12-17T07:52:00Z</dcterms:created>
  <dcterms:modified xsi:type="dcterms:W3CDTF">2026-04-02T05:45:00Z</dcterms:modified>
</cp:coreProperties>
</file>