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733F25" w:rsidRPr="006541B0" w:rsidTr="00E96C1C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2-501/2025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Крикун Е.Б. к Федеральному агентству по управлению государственным имуществом в лице территориального управления Федерального агентства по управлению Государственным имуществом по ЛНР, заинтересованное лицо: МРЭО ГИБДД Министерства внутренних дел по ЛНР о признании права собственности в порядке наследования по закону, об установлении факта прекращения запрета на его отчуждение и передаче права управления на транспортное средство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1-37/2025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в отношении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Лавренкова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А.Р.,                  по признакам состава преступления, предусмотренного ч. 5 ст. 33, ч.2 ст. 222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2-105/2025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Соляник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В.В.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2-16/2025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В.Г.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30A7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Список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26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733F25" w:rsidRPr="006541B0" w:rsidTr="00E96C1C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CD3AF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2-388/2025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CD3AF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CD3AF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г. Брянки ЛНР, заинтересованное лицо: Лысенко В.М. о признании права муниципальной собственности на бесхозяйное недвижимое имущество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CD3AF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3AF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2-575/2025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Ватулин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В.И.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г. Брянке ГУ ФССП России по ЛНР об освобождении имущества от ареста и снятии запрета на его отчуждение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1-61/2025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Уголовное дело по обвинению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Дзуева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Х.Г.,                  в совершении преступления, предусмотренного п. «в» ч. 2 ст. 264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2-445/2025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Косенко Ю.Ф.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Министрерство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имущественных и земельных отношений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EF3BB7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2-502/2025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EF3BB7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15</w:t>
            </w: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3</w:t>
            </w: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EF3BB7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F3BB7">
              <w:rPr>
                <w:rFonts w:ascii="Times New Roman" w:eastAsia="Times New Roman" w:hAnsi="Times New Roman"/>
                <w:szCs w:val="24"/>
                <w:lang w:eastAsia="ru-RU"/>
              </w:rPr>
              <w:t>Отрощенко В.И. к ООО «БУШСМ-ПЛЮС», третье лицо: Управление Федеральной службы государственной регистрации, кадастра и картографии ЛНР, третье лицо: Администрация МО ГО г. Брянки, третье лицо: Межрайонная инспекция ФНС №1 по ЛНР о признании регистрации ЕГРН недействительной, о признании права собственности на квартиру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30A7E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0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733F25" w:rsidRPr="006541B0" w:rsidTr="00E96C1C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2-524/2025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Кравченко Э.Н., заинтересованное лицо: Брянковский городской отдел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записи актов гражданского состояния департамента записи актов гражданского состояния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Министрерства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юстиции ЛНР об установлении факта родственных отношений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1-60/2025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Уголовное дело по обвинению Васькина А.Н. по признакам преступления, предусмотренного п. «а» ч. 4, ст. 162, п. «а» ч. 3, ст. 126, </w:t>
            </w:r>
            <w:proofErr w:type="spell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п.п</w:t>
            </w:r>
            <w:proofErr w:type="spellEnd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 «а», «в», «г», ч. 2, ст. 126 УК РФ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4/2-196/2025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14-0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ходатайству осужденного </w:t>
            </w:r>
            <w:proofErr w:type="spell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Зарипова</w:t>
            </w:r>
            <w:proofErr w:type="spellEnd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А.А. о применении ч. 2 ст. 81 УК РФ, ч. 6 ст. 175, ч. 8 ст. 175 УИК РФ</w:t>
            </w:r>
            <w:r w:rsidRPr="006541B0"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ru-RU"/>
              </w:rPr>
              <w:t xml:space="preserve">      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2-517/2025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15-30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Стребков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Д.С., заинтересованное лицо: отдел фонда пенсионного и социального страхования РФ по ЛНР об установлении факта прекращения трудовых отношений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733F25" w:rsidRPr="006541B0" w:rsidTr="00E96C1C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2-525/2025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Михайленко С.А., заинтересованное лицо: Администрация г. о. г. Брянка ЛНР об установлении юридического факта принятия наследства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2-523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Абрицкая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С.П.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г. о. г. Брянка ЛНР об освобождении от обременения недвижимого имущества снятия ареста и запрета его отчуждения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RPr="006541B0" w:rsidTr="00E96C1C">
        <w:trPr>
          <w:trHeight w:val="74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1-53/2025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Уголовное дело по обвинению Рублева Д.А.,                  по признакам состава преступления, предусмотренного 4 ст. 159 УК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Список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дел, назначенных к рассмотрению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proofErr w:type="spellStart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Брянковском</w:t>
      </w:r>
      <w:proofErr w:type="spellEnd"/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городском суде Луганской Народной Республики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на "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"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августа</w:t>
      </w: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 xml:space="preserve"> 2025 г.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B0">
        <w:rPr>
          <w:rFonts w:ascii="Times New Roman" w:eastAsia="Times New Roman" w:hAnsi="Times New Roman"/>
          <w:sz w:val="26"/>
          <w:szCs w:val="26"/>
          <w:lang w:eastAsia="ru-RU"/>
        </w:rPr>
        <w:t>судьей КРУПИНСКОЙ О.Ю.</w:t>
      </w:r>
    </w:p>
    <w:p w:rsidR="00733F25" w:rsidRPr="006541B0" w:rsidRDefault="00733F25" w:rsidP="00733F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636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9"/>
        <w:gridCol w:w="1560"/>
        <w:gridCol w:w="5238"/>
        <w:gridCol w:w="1279"/>
      </w:tblGrid>
      <w:tr w:rsidR="00733F25" w:rsidRPr="006541B0" w:rsidTr="00E96C1C">
        <w:trPr>
          <w:trHeight w:val="16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какой час назначено рассмотрение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Ф.И.О. обвиняемых, наименование истца, административного истца, ответчика, административного ответчика, предмет и сущность иска, административного иска, 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УК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КоАП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 w:history="1">
              <w:r w:rsidRPr="006541B0">
                <w:rPr>
                  <w:rStyle w:val="a5"/>
                  <w:rFonts w:ascii="Times New Roman" w:eastAsia="Times New Roman" w:hAnsi="Times New Roman"/>
                  <w:sz w:val="26"/>
                  <w:szCs w:val="26"/>
                  <w:lang w:eastAsia="ru-RU"/>
                </w:rPr>
                <w:t>КАС</w:t>
              </w:r>
            </w:hyperlink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РФ)</w:t>
            </w:r>
            <w:proofErr w:type="gram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Место рассмотрения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2-525/2025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Моргослеп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 к Администрации городского округа муниципальное образование городской округ город Брянка ЛНР об установлении факта принятия наследства, о включении имущества в состав наследства и признании права собственности в порядке наследования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  <w:tr w:rsidR="00733F25" w:rsidTr="00E96C1C">
        <w:trPr>
          <w:trHeight w:val="8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5-339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  <w:r w:rsidRPr="006541B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Pr="006541B0" w:rsidRDefault="00733F25" w:rsidP="00E96C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ОМВД России «Брянковский» в отношении Голованова Д.И. по ч. 1 ст. 12.26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КРФоАП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F25" w:rsidRDefault="00733F25" w:rsidP="00E96C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к.4</w:t>
            </w:r>
          </w:p>
        </w:tc>
      </w:tr>
    </w:tbl>
    <w:p w:rsidR="00733F25" w:rsidRDefault="00733F25" w:rsidP="00733F25">
      <w:pPr>
        <w:rPr>
          <w:b/>
        </w:rPr>
      </w:pPr>
    </w:p>
    <w:p w:rsidR="00733F25" w:rsidRDefault="00733F25" w:rsidP="00733F25">
      <w:pPr>
        <w:rPr>
          <w:b/>
        </w:rPr>
      </w:pPr>
    </w:p>
    <w:p w:rsidR="00733F25" w:rsidRPr="004E765F" w:rsidRDefault="00733F25" w:rsidP="00733F25">
      <w:pPr>
        <w:rPr>
          <w:b/>
        </w:rPr>
      </w:pPr>
    </w:p>
    <w:p w:rsidR="00003B31" w:rsidRPr="00733F25" w:rsidRDefault="00003B31" w:rsidP="00733F25">
      <w:bookmarkStart w:id="0" w:name="_GoBack"/>
      <w:bookmarkEnd w:id="0"/>
    </w:p>
    <w:sectPr w:rsidR="00003B31" w:rsidRPr="0073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57"/>
    <w:rsid w:val="00003B31"/>
    <w:rsid w:val="000E6D85"/>
    <w:rsid w:val="004D7057"/>
    <w:rsid w:val="00733F25"/>
    <w:rsid w:val="007A14BD"/>
    <w:rsid w:val="009D2562"/>
    <w:rsid w:val="00B157A8"/>
    <w:rsid w:val="00D4721C"/>
    <w:rsid w:val="00F10178"/>
    <w:rsid w:val="00F9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next w:val="a"/>
    <w:autoRedefine/>
    <w:uiPriority w:val="1"/>
    <w:qFormat/>
    <w:rsid w:val="00F101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09"/>
      <w:jc w:val="both"/>
    </w:pPr>
    <w:rPr>
      <w:rFonts w:ascii="Times New Roman" w:eastAsia="Arial Unicode MS" w:hAnsi="Times New Roman"/>
      <w:sz w:val="28"/>
      <w:szCs w:val="24"/>
      <w:bdr w:val="nil"/>
      <w:lang w:val="en-US" w:eastAsia="ru-RU"/>
    </w:rPr>
  </w:style>
  <w:style w:type="paragraph" w:styleId="a4">
    <w:name w:val="List Paragraph"/>
    <w:basedOn w:val="a"/>
    <w:uiPriority w:val="34"/>
    <w:qFormat/>
    <w:rsid w:val="00D4721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Hyperlink"/>
    <w:basedOn w:val="a0"/>
    <w:uiPriority w:val="99"/>
    <w:semiHidden/>
    <w:unhideWhenUsed/>
    <w:rsid w:val="004D7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TishenkoV</dc:creator>
  <cp:lastModifiedBy>TishenkoV</cp:lastModifiedBy>
  <cp:revision>6</cp:revision>
  <dcterms:created xsi:type="dcterms:W3CDTF">2025-07-16T05:42:00Z</dcterms:created>
  <dcterms:modified xsi:type="dcterms:W3CDTF">2025-08-25T14:36:00Z</dcterms:modified>
</cp:coreProperties>
</file>