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9B" w:rsidRPr="00467BC9" w:rsidRDefault="0043379B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D11E67" w:rsidRDefault="00D11E67" w:rsidP="00D11E67">
      <w:pPr>
        <w:pStyle w:val="ab"/>
        <w:spacing w:before="0" w:beforeAutospacing="0" w:after="0" w:afterAutospacing="0" w:line="180" w:lineRule="atLeast"/>
        <w:ind w:left="2832" w:firstLine="708"/>
        <w:jc w:val="center"/>
      </w:pPr>
      <w:r>
        <w:t>УТВЕРЖДЕНО</w:t>
      </w:r>
    </w:p>
    <w:p w:rsidR="00D11E67" w:rsidRDefault="00D11E67" w:rsidP="00D11E67">
      <w:pPr>
        <w:pStyle w:val="ab"/>
        <w:spacing w:before="0" w:beforeAutospacing="0" w:after="0" w:afterAutospacing="0" w:line="180" w:lineRule="atLeast"/>
        <w:ind w:left="4248" w:firstLine="708"/>
      </w:pPr>
      <w:r>
        <w:t>приказом председателя</w:t>
      </w:r>
    </w:p>
    <w:p w:rsidR="00D11E67" w:rsidRDefault="00D11E67" w:rsidP="00D11E67">
      <w:pPr>
        <w:pStyle w:val="ab"/>
        <w:spacing w:before="0" w:beforeAutospacing="0" w:after="0" w:afterAutospacing="0" w:line="180" w:lineRule="atLeast"/>
        <w:ind w:left="4248" w:firstLine="708"/>
      </w:pPr>
      <w:r>
        <w:t>Брянковского городского суда</w:t>
      </w:r>
    </w:p>
    <w:p w:rsidR="00D11E67" w:rsidRDefault="00D11E67" w:rsidP="00D11E67">
      <w:pPr>
        <w:pStyle w:val="ab"/>
        <w:spacing w:before="0" w:beforeAutospacing="0" w:after="0" w:afterAutospacing="0" w:line="180" w:lineRule="atLeast"/>
        <w:jc w:val="center"/>
      </w:pPr>
      <w:r>
        <w:t xml:space="preserve">                                           от 05.02.2024 № 4-од</w:t>
      </w:r>
    </w:p>
    <w:p w:rsidR="00467BC9" w:rsidRDefault="00467BC9" w:rsidP="00263BFD">
      <w:pPr>
        <w:widowControl w:val="0"/>
        <w:spacing w:after="0"/>
        <w:ind w:right="198"/>
        <w:rPr>
          <w:rStyle w:val="20"/>
          <w:rFonts w:eastAsiaTheme="minorHAnsi"/>
          <w:b/>
          <w:strike/>
          <w:sz w:val="28"/>
          <w:szCs w:val="28"/>
        </w:rPr>
      </w:pPr>
    </w:p>
    <w:p w:rsidR="00D11E67" w:rsidRDefault="00D11E67" w:rsidP="00263BFD">
      <w:pPr>
        <w:widowControl w:val="0"/>
        <w:spacing w:after="0"/>
        <w:ind w:right="198"/>
        <w:rPr>
          <w:rStyle w:val="20"/>
          <w:rFonts w:eastAsiaTheme="minorHAnsi"/>
          <w:b/>
          <w:strike/>
          <w:sz w:val="28"/>
          <w:szCs w:val="28"/>
        </w:rPr>
      </w:pPr>
    </w:p>
    <w:p w:rsidR="00D11E67" w:rsidRPr="00467BC9" w:rsidRDefault="00D11E67" w:rsidP="00263BFD">
      <w:pPr>
        <w:widowControl w:val="0"/>
        <w:spacing w:after="0"/>
        <w:ind w:right="198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3379B" w:rsidRPr="00467BC9" w:rsidRDefault="00B038F6" w:rsidP="00467BC9">
      <w:pPr>
        <w:widowControl w:val="0"/>
        <w:spacing w:after="0" w:line="240" w:lineRule="auto"/>
        <w:ind w:right="198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 xml:space="preserve"> </w:t>
      </w:r>
      <w:r w:rsidR="0043379B" w:rsidRPr="00467BC9">
        <w:rPr>
          <w:rStyle w:val="20"/>
          <w:rFonts w:eastAsiaTheme="minorHAnsi"/>
          <w:b/>
          <w:sz w:val="28"/>
          <w:szCs w:val="28"/>
        </w:rPr>
        <w:t>ПРАВИЛА</w:t>
      </w:r>
    </w:p>
    <w:p w:rsidR="0043379B" w:rsidRPr="00467BC9" w:rsidRDefault="0043379B" w:rsidP="00467BC9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 xml:space="preserve">пребывания посетителей в </w:t>
      </w:r>
      <w:r w:rsidR="00424E1A">
        <w:rPr>
          <w:rStyle w:val="20"/>
          <w:rFonts w:eastAsiaTheme="minorHAnsi"/>
          <w:b/>
          <w:sz w:val="28"/>
          <w:szCs w:val="28"/>
        </w:rPr>
        <w:t>Брянковском городском суде</w:t>
      </w:r>
    </w:p>
    <w:p w:rsidR="0043379B" w:rsidRPr="00467BC9" w:rsidRDefault="0043379B" w:rsidP="00467BC9">
      <w:pPr>
        <w:spacing w:after="0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1. Общие положения</w:t>
      </w:r>
    </w:p>
    <w:p w:rsidR="0043379B" w:rsidRPr="00467BC9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1.1. </w:t>
      </w:r>
      <w:r w:rsidR="00424E1A">
        <w:rPr>
          <w:rStyle w:val="20"/>
          <w:rFonts w:eastAsiaTheme="minorHAnsi"/>
          <w:sz w:val="28"/>
          <w:szCs w:val="28"/>
        </w:rPr>
        <w:t xml:space="preserve"> П</w:t>
      </w:r>
      <w:r w:rsidRPr="00467BC9">
        <w:rPr>
          <w:rStyle w:val="20"/>
          <w:rFonts w:eastAsiaTheme="minorHAnsi"/>
          <w:sz w:val="28"/>
          <w:szCs w:val="28"/>
        </w:rPr>
        <w:t>равила пребывания временно находящихся в зд</w:t>
      </w:r>
      <w:r w:rsidR="00424E1A">
        <w:rPr>
          <w:rStyle w:val="20"/>
          <w:rFonts w:eastAsiaTheme="minorHAnsi"/>
          <w:sz w:val="28"/>
          <w:szCs w:val="28"/>
        </w:rPr>
        <w:t>ании (помещении) Брянковского городского суда</w:t>
      </w:r>
      <w:r w:rsidR="00AC582B" w:rsidRPr="00467BC9">
        <w:rPr>
          <w:rStyle w:val="20"/>
          <w:rFonts w:eastAsiaTheme="minorHAnsi"/>
          <w:sz w:val="28"/>
          <w:szCs w:val="28"/>
        </w:rPr>
        <w:t xml:space="preserve"> (далее – </w:t>
      </w:r>
      <w:r w:rsidR="00424E1A">
        <w:rPr>
          <w:rStyle w:val="20"/>
          <w:rFonts w:eastAsiaTheme="minorHAnsi"/>
          <w:sz w:val="28"/>
          <w:szCs w:val="28"/>
        </w:rPr>
        <w:t xml:space="preserve"> П</w:t>
      </w:r>
      <w:r w:rsidRPr="00467BC9">
        <w:rPr>
          <w:rStyle w:val="20"/>
          <w:rFonts w:eastAsiaTheme="minorHAnsi"/>
          <w:sz w:val="28"/>
          <w:szCs w:val="28"/>
        </w:rPr>
        <w:t xml:space="preserve">равила) физических лиц, для которых суд не является местом работы (далее </w:t>
      </w:r>
      <w:r w:rsidR="00AC582B" w:rsidRPr="00467BC9">
        <w:rPr>
          <w:rStyle w:val="20"/>
          <w:rFonts w:eastAsiaTheme="minorHAnsi"/>
          <w:sz w:val="28"/>
          <w:szCs w:val="28"/>
        </w:rPr>
        <w:t>–</w:t>
      </w:r>
      <w:r w:rsidRPr="00467BC9">
        <w:rPr>
          <w:rStyle w:val="20"/>
          <w:rFonts w:eastAsiaTheme="minorHAnsi"/>
          <w:sz w:val="28"/>
          <w:szCs w:val="28"/>
        </w:rPr>
        <w:t xml:space="preserve">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</w:t>
      </w:r>
      <w:r w:rsidR="00424E1A">
        <w:rPr>
          <w:rStyle w:val="20"/>
          <w:rFonts w:eastAsiaTheme="minorHAnsi"/>
          <w:sz w:val="28"/>
          <w:szCs w:val="28"/>
        </w:rPr>
        <w:t>ости судей, работников аппарата федерального суда</w:t>
      </w:r>
      <w:r w:rsidRPr="00467BC9">
        <w:rPr>
          <w:rStyle w:val="20"/>
          <w:rFonts w:eastAsiaTheme="minorHAnsi"/>
          <w:sz w:val="28"/>
          <w:szCs w:val="28"/>
        </w:rPr>
        <w:t xml:space="preserve"> (далее </w:t>
      </w:r>
      <w:r w:rsidR="00AC582B" w:rsidRPr="00467BC9">
        <w:rPr>
          <w:rStyle w:val="20"/>
          <w:rFonts w:eastAsiaTheme="minorHAnsi"/>
          <w:sz w:val="28"/>
          <w:szCs w:val="28"/>
        </w:rPr>
        <w:t>–</w:t>
      </w:r>
      <w:r w:rsidR="00424E1A">
        <w:rPr>
          <w:rStyle w:val="20"/>
          <w:rFonts w:eastAsiaTheme="minorHAnsi"/>
          <w:sz w:val="28"/>
          <w:szCs w:val="28"/>
        </w:rPr>
        <w:t xml:space="preserve"> суд</w:t>
      </w:r>
      <w:r w:rsidRPr="00467BC9">
        <w:rPr>
          <w:rStyle w:val="20"/>
          <w:rFonts w:eastAsiaTheme="minorHAnsi"/>
          <w:sz w:val="28"/>
          <w:szCs w:val="28"/>
        </w:rPr>
        <w:t>).</w:t>
      </w:r>
    </w:p>
    <w:p w:rsidR="0043379B" w:rsidRPr="00467BC9" w:rsidRDefault="00424E1A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 xml:space="preserve"> П</w:t>
      </w:r>
      <w:r w:rsidR="0043379B" w:rsidRPr="00467BC9">
        <w:rPr>
          <w:rStyle w:val="20"/>
          <w:rFonts w:eastAsiaTheme="minorHAnsi"/>
          <w:sz w:val="28"/>
          <w:szCs w:val="28"/>
        </w:rPr>
        <w:t>равил</w:t>
      </w:r>
      <w:r>
        <w:rPr>
          <w:rStyle w:val="20"/>
          <w:rFonts w:eastAsiaTheme="minorHAnsi"/>
          <w:sz w:val="28"/>
          <w:szCs w:val="28"/>
        </w:rPr>
        <w:t>а пребывания посетителей в суде</w:t>
      </w:r>
      <w:r w:rsidR="0043379B" w:rsidRPr="00467BC9">
        <w:rPr>
          <w:rStyle w:val="20"/>
          <w:rFonts w:eastAsiaTheme="minorHAnsi"/>
          <w:sz w:val="28"/>
          <w:szCs w:val="28"/>
        </w:rPr>
        <w:t xml:space="preserve"> направлены на: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установле</w:t>
      </w:r>
      <w:r w:rsidR="00424E1A">
        <w:rPr>
          <w:rStyle w:val="20"/>
          <w:rFonts w:eastAsiaTheme="minorHAnsi"/>
          <w:sz w:val="28"/>
          <w:szCs w:val="28"/>
        </w:rPr>
        <w:t>нного порядка деятельности суда</w:t>
      </w:r>
      <w:r w:rsidRPr="00467BC9">
        <w:rPr>
          <w:rStyle w:val="20"/>
          <w:rFonts w:eastAsiaTheme="minorHAnsi"/>
          <w:sz w:val="28"/>
          <w:szCs w:val="28"/>
        </w:rPr>
        <w:t xml:space="preserve">;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поддержание общественного порядка в здании (помещении) суда и осуществление </w:t>
      </w:r>
      <w:r w:rsidR="00741BB3" w:rsidRPr="00467BC9">
        <w:rPr>
          <w:rStyle w:val="20"/>
          <w:rFonts w:eastAsiaTheme="minorHAnsi"/>
          <w:sz w:val="28"/>
          <w:szCs w:val="28"/>
        </w:rPr>
        <w:t>его</w:t>
      </w:r>
      <w:r w:rsidRPr="00467BC9">
        <w:rPr>
          <w:rStyle w:val="20"/>
          <w:rFonts w:eastAsiaTheme="minorHAnsi"/>
          <w:sz w:val="28"/>
          <w:szCs w:val="28"/>
        </w:rPr>
        <w:t xml:space="preserve"> охраны;</w:t>
      </w:r>
    </w:p>
    <w:p w:rsidR="00741BB3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прав граждан на охрану жизни и здоровья, в том числе безопасности судей, присяжных з</w:t>
      </w:r>
      <w:r w:rsidR="00424E1A">
        <w:rPr>
          <w:rStyle w:val="20"/>
          <w:rFonts w:eastAsiaTheme="minorHAnsi"/>
          <w:sz w:val="28"/>
          <w:szCs w:val="28"/>
        </w:rPr>
        <w:t>аседателей, работников аппарата суда</w:t>
      </w:r>
      <w:r w:rsidRPr="00467BC9">
        <w:rPr>
          <w:rStyle w:val="20"/>
          <w:rFonts w:eastAsiaTheme="minorHAnsi"/>
          <w:sz w:val="28"/>
          <w:szCs w:val="28"/>
        </w:rPr>
        <w:t xml:space="preserve"> и иных участников судебного процесса;</w:t>
      </w:r>
    </w:p>
    <w:p w:rsidR="00741BB3" w:rsidRPr="00467BC9" w:rsidRDefault="00741BB3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обеспечение гласности и открытости судопроизводства, </w:t>
      </w:r>
      <w:r w:rsidR="0043379B" w:rsidRPr="00467BC9">
        <w:rPr>
          <w:rStyle w:val="20"/>
          <w:rFonts w:eastAsiaTheme="minorHAnsi"/>
          <w:sz w:val="28"/>
          <w:szCs w:val="28"/>
        </w:rPr>
        <w:t>реализацию права на доступ к</w:t>
      </w:r>
      <w:r w:rsidR="00424E1A">
        <w:rPr>
          <w:rStyle w:val="20"/>
          <w:rFonts w:eastAsiaTheme="minorHAnsi"/>
          <w:sz w:val="28"/>
          <w:szCs w:val="28"/>
        </w:rPr>
        <w:t xml:space="preserve"> информации о деятельности суда</w:t>
      </w:r>
      <w:r w:rsidRPr="00467BC9">
        <w:rPr>
          <w:rStyle w:val="20"/>
          <w:rFonts w:eastAsiaTheme="minorHAnsi"/>
          <w:sz w:val="28"/>
          <w:szCs w:val="28"/>
        </w:rPr>
        <w:t>;</w:t>
      </w:r>
    </w:p>
    <w:p w:rsidR="0043379B" w:rsidRPr="00467BC9" w:rsidRDefault="00741BB3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</w:t>
      </w:r>
      <w:r w:rsidR="0043379B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741BB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Проход в здание (помещение) суда осуществляется по следующим документам: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временное удостоверение личности гражданина Российской Федерации </w:t>
      </w:r>
      <w:r w:rsidRPr="00263B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(форма № 2);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дипломатический 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служебный 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военнослужащего Российской Федерации или военный билет;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моряка;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свидетельство о рождении (для граждан Российской Федерации </w:t>
      </w:r>
      <w:r w:rsidR="000C5E5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 14 лет);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водительское удостоверение;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служебное удостоверение;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адвоката;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741BB3" w:rsidRPr="00467BC9" w:rsidRDefault="00741BB3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 Организация допуска посетителей в здание (помещение) суда</w:t>
      </w:r>
    </w:p>
    <w:p w:rsidR="0043379B" w:rsidRPr="00467BC9" w:rsidRDefault="0043379B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741BB3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2.1.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Допуск посетителей в здание (помещение) суда осуществляется в соответствии с правилами внутреннего распорядка </w:t>
      </w:r>
      <w:r w:rsidR="00424E1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Брянковского городского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суда, установленными председателем суда на основании утвержденных Советом судей Российской Федерации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судебные приставы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выполняют возложенные на них обязанности. В целях обеспечения безопасности судей, присяжных заседателей, работников аппаратов судов и иных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лиц, находящихся в зданиях, помещениях судов, судебными приставами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2.3 и 2.4 </w:t>
      </w:r>
      <w:r w:rsidR="00813EA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DF2AF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2.2.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 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судебные приставы) в соответствии с законодательством Российской Федерации.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2.3. 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 </w:t>
      </w:r>
      <w:r w:rsidR="002E3F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«О государственной охране». 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2.4. При предъявлении служебного удостоверения в здание (помещение) суда проходят:</w:t>
      </w:r>
    </w:p>
    <w:p w:rsidR="0043379B" w:rsidRPr="00467BC9" w:rsidRDefault="00C46C3F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удьи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том, числе пребывающие в отставке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3379B" w:rsidRPr="00467BC9" w:rsidRDefault="00707BC9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сенаторы Российской Федерации и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Государственной Думы Федерального Собрания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гражданские служащие Верховного Суда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работники системы Судебного департамента при Верховном Суде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государственные гражда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нские служащие федеральных судов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мировых судей субъектов Российской Федерации;</w:t>
      </w:r>
    </w:p>
    <w:p w:rsidR="0043379B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высшие должностные лица субъектов Российской Федерации,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исполнительных органов государственной власти субъектов Российской Федерации и их заместители;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7717A4" w:rsidRPr="00467BC9" w:rsidRDefault="007717A4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главы муниципальных образований, руководители органов местного самоуправления и их заместители,</w:t>
      </w:r>
      <w:r w:rsidRPr="00467BC9">
        <w:rPr>
          <w:rFonts w:ascii="Times New Roman" w:hAnsi="Times New Roman" w:cs="Times New Roman"/>
          <w:sz w:val="28"/>
          <w:szCs w:val="28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</w:t>
      </w:r>
      <w:r w:rsidR="007717A4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й гвардии Российской Федерации</w:t>
      </w:r>
      <w:r w:rsidR="0078581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предъявлении удостоверения проходят в здание (помещение) суда адвокаты.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нахождении в здании суда медицинских работников судебными приставами или сотрудниками служб, осуществляющих о</w:t>
      </w:r>
      <w:r w:rsidR="0069520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храну здания (помещения) суда,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незамедлительно докладывается пр</w:t>
      </w:r>
      <w:r w:rsidR="00DF2AF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едседателю суда.</w:t>
      </w:r>
      <w:r w:rsidR="00DF2AF8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2.6. Доступ в здание (помещение) суда предоставляется: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присяжным заседателям (кандидатам в присяжные заседатели)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основании списка присяжных заседателей (кандидатов в присяжные заседатели), находящегося на посту охраны;</w:t>
      </w:r>
    </w:p>
    <w:p w:rsidR="00C46C3F" w:rsidRPr="00467BC9" w:rsidRDefault="00C46C3F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арбитражным заседателям на основании соответствующего определения суда;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работникам строительных (подрядных) или клининговых организаций  на основании списков, представляемых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руководителем аппарата 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администратором суда и находящихся на посту охраны.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</w:t>
      </w:r>
      <w:r w:rsidRPr="00467BC9">
        <w:rPr>
          <w:rStyle w:val="20"/>
          <w:rFonts w:eastAsiaTheme="minorHAnsi"/>
          <w:sz w:val="28"/>
          <w:szCs w:val="28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</w:t>
      </w:r>
      <w:r w:rsidR="00902885">
        <w:rPr>
          <w:rStyle w:val="20"/>
          <w:rFonts w:eastAsiaTheme="minorHAnsi"/>
          <w:sz w:val="28"/>
          <w:szCs w:val="28"/>
        </w:rPr>
        <w:t>работник</w:t>
      </w:r>
      <w:r w:rsidRPr="00467BC9">
        <w:rPr>
          <w:rStyle w:val="20"/>
          <w:rFonts w:eastAsiaTheme="minorHAnsi"/>
          <w:sz w:val="28"/>
          <w:szCs w:val="28"/>
        </w:rPr>
        <w:t xml:space="preserve"> суда.</w:t>
      </w:r>
    </w:p>
    <w:p w:rsidR="00467BC9" w:rsidRDefault="00467BC9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</w:t>
      </w:r>
      <w:r w:rsidR="007A52A5" w:rsidRPr="00467BC9">
        <w:rPr>
          <w:rStyle w:val="20"/>
          <w:rFonts w:eastAsiaTheme="minorHAnsi"/>
          <w:sz w:val="28"/>
          <w:szCs w:val="28"/>
        </w:rPr>
        <w:t xml:space="preserve">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</w:t>
      </w:r>
      <w:r w:rsidR="000044C6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D578EE">
        <w:rPr>
          <w:rStyle w:val="20"/>
          <w:rFonts w:eastAsiaTheme="minorHAnsi"/>
          <w:sz w:val="28"/>
          <w:szCs w:val="28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2.11. 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2.12. Основаниями для отказа в допуске в здание (помещение) суда являются: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отсутствие или отказ предъявить документы, удостоверяющие личность;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3379B" w:rsidRPr="00467BC9" w:rsidRDefault="00A12BDD" w:rsidP="00467BC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прибытие в суд лиц, имеющих внешний вид, не отвечающий санитарно-гигиеническим требованиям; лиц в спортивной и</w:t>
      </w:r>
      <w:r w:rsidR="008E6DB7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ли</w:t>
      </w: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в одежде,</w:t>
      </w:r>
      <w:r w:rsidR="00067EB4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не позволяющей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идентифицировать личность</w:t>
      </w:r>
      <w:r w:rsidR="0043379B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состоянии алкогольного, наркотического или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иного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токсического опьянения;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возрасте до 14 лет без сопровождения законных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представителей, близких родственников, опекунов (представителей 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органов опеки и попечительства),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педагогов (воспитателей)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иных лиц на основании доверенности, выданной законным представителем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A52A5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 Меры безопасности в суде</w:t>
      </w:r>
    </w:p>
    <w:p w:rsidR="0043379B" w:rsidRPr="00467BC9" w:rsidRDefault="0043379B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проносить в здание и служебные помещения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суда предметы, перечисленные в 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риложении к настоящим </w:t>
      </w:r>
      <w:r w:rsidR="00B038F6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Типовым 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проносить в здание и служебные помещения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суда предметы, перечисленные в 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риложении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щим, либо с иным уполномоченным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лицом;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курить;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3BFD" w:rsidRDefault="00263BFD" w:rsidP="00263BFD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4. Ответственность посетителей суда</w:t>
      </w:r>
    </w:p>
    <w:p w:rsidR="00263BFD" w:rsidRPr="00467BC9" w:rsidRDefault="00263BFD" w:rsidP="00263BFD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8"/>
          <w:szCs w:val="28"/>
        </w:rPr>
      </w:pPr>
    </w:p>
    <w:p w:rsidR="00263BFD" w:rsidRPr="00467BC9" w:rsidRDefault="00263BFD" w:rsidP="00263BFD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4.1. При совершении противоправных действий (бездействии) посетитель несет установленную законодательством Российской Федерации</w:t>
      </w:r>
      <w:r w:rsidRPr="00467BC9">
        <w:rPr>
          <w:rStyle w:val="20"/>
          <w:rFonts w:eastAsiaTheme="minorHAnsi"/>
          <w:b/>
          <w:sz w:val="28"/>
          <w:szCs w:val="28"/>
        </w:rPr>
        <w:t xml:space="preserve"> </w:t>
      </w:r>
      <w:r w:rsidRPr="00467BC9">
        <w:rPr>
          <w:rStyle w:val="20"/>
          <w:rFonts w:eastAsiaTheme="minorHAnsi"/>
          <w:sz w:val="28"/>
          <w:szCs w:val="28"/>
        </w:rPr>
        <w:t>ответственность.</w:t>
      </w:r>
    </w:p>
    <w:p w:rsidR="00263BFD" w:rsidRDefault="00263BFD" w:rsidP="00263BFD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3BFD" w:rsidRPr="00467BC9" w:rsidRDefault="00263BFD" w:rsidP="00263BFD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Приложение </w:t>
      </w:r>
    </w:p>
    <w:p w:rsidR="00263BFD" w:rsidRPr="00467BC9" w:rsidRDefault="00263BFD" w:rsidP="00263BFD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3BFD" w:rsidRPr="00467BC9" w:rsidRDefault="00263BFD" w:rsidP="00263BFD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Примерный перечень предметов, запрещенных к вносу </w:t>
      </w:r>
    </w:p>
    <w:p w:rsidR="00263BFD" w:rsidRPr="00467BC9" w:rsidRDefault="00263BFD" w:rsidP="00263BFD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здание (помещение) суда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 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 Взрывчатые вещества, взрывные устройства.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 Наркотические средства, психотропные вещества и их аналоги.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 Токсические (ядовитые), радиоактивные вещества.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 Легковоспламеняющиеся вещества (жидкости).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6. Бытовые газовые баллоны.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7. Алкогольная и спиртосодержащая продукция.</w:t>
      </w:r>
    </w:p>
    <w:p w:rsidR="00263BFD" w:rsidRPr="00467BC9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8. 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263BFD" w:rsidRPr="00467BC9" w:rsidRDefault="00263BFD" w:rsidP="00263BFD">
      <w:pPr>
        <w:tabs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9.</w:t>
      </w:r>
      <w:r w:rsidRPr="00467BC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263BFD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10. Иные предметы, вещества и средства, представляющие угрозу для безопасности окружающих.</w:t>
      </w:r>
    </w:p>
    <w:p w:rsidR="00263BFD" w:rsidRDefault="00263BFD" w:rsidP="00263BF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3BFD" w:rsidRPr="00D70644" w:rsidRDefault="00263BFD" w:rsidP="00D706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color w:val="000000"/>
          <w:sz w:val="28"/>
          <w:szCs w:val="28"/>
          <w:shd w:val="clear" w:color="auto" w:fill="FFFFFF"/>
        </w:rPr>
        <w:t>Примечание:</w:t>
      </w:r>
      <w:r>
        <w:rPr>
          <w:color w:val="000000"/>
          <w:sz w:val="28"/>
          <w:szCs w:val="28"/>
          <w:shd w:val="clear" w:color="auto" w:fill="FFFFFF"/>
        </w:rPr>
        <w:t> перечень предметов не является исчерпывающим, дополнение в перечень или исключение из данного перечня производятся по решению председателя суда либо лица, его замещающего.</w:t>
      </w:r>
      <w:bookmarkStart w:id="0" w:name="_GoBack"/>
      <w:bookmarkEnd w:id="0"/>
    </w:p>
    <w:p w:rsidR="00263BFD" w:rsidRDefault="00263BFD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 w:type="page"/>
      </w:r>
    </w:p>
    <w:p w:rsidR="00263BFD" w:rsidRDefault="00263BFD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3BFD" w:rsidRDefault="00263BFD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sectPr w:rsidR="00263BFD" w:rsidSect="004651A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682" w:rsidRDefault="00113682" w:rsidP="004651AC">
      <w:pPr>
        <w:spacing w:after="0" w:line="240" w:lineRule="auto"/>
      </w:pPr>
      <w:r>
        <w:separator/>
      </w:r>
    </w:p>
  </w:endnote>
  <w:endnote w:type="continuationSeparator" w:id="0">
    <w:p w:rsidR="00113682" w:rsidRDefault="00113682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682" w:rsidRDefault="00113682" w:rsidP="004651AC">
      <w:pPr>
        <w:spacing w:after="0" w:line="240" w:lineRule="auto"/>
      </w:pPr>
      <w:r>
        <w:separator/>
      </w:r>
    </w:p>
  </w:footnote>
  <w:footnote w:type="continuationSeparator" w:id="0">
    <w:p w:rsidR="00113682" w:rsidRDefault="00113682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38729"/>
      <w:docPartObj>
        <w:docPartGallery w:val="Page Numbers (Top of Page)"/>
        <w:docPartUnique/>
      </w:docPartObj>
    </w:sdtPr>
    <w:sdtEndPr/>
    <w:sdtContent>
      <w:p w:rsidR="004651AC" w:rsidRDefault="004651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644">
          <w:rPr>
            <w:noProof/>
          </w:rPr>
          <w:t>6</w:t>
        </w:r>
        <w:r>
          <w:fldChar w:fldCharType="end"/>
        </w:r>
      </w:p>
    </w:sdtContent>
  </w:sdt>
  <w:p w:rsidR="004651AC" w:rsidRDefault="004651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B1"/>
    <w:rsid w:val="000044C6"/>
    <w:rsid w:val="00066049"/>
    <w:rsid w:val="00067EB4"/>
    <w:rsid w:val="00074FBC"/>
    <w:rsid w:val="00081F86"/>
    <w:rsid w:val="00096C33"/>
    <w:rsid w:val="000C5E59"/>
    <w:rsid w:val="000F5310"/>
    <w:rsid w:val="00112B0E"/>
    <w:rsid w:val="00113682"/>
    <w:rsid w:val="001B7E9C"/>
    <w:rsid w:val="001D4C1A"/>
    <w:rsid w:val="001F0EDF"/>
    <w:rsid w:val="00263BFD"/>
    <w:rsid w:val="002C4528"/>
    <w:rsid w:val="002D65C7"/>
    <w:rsid w:val="002E3F35"/>
    <w:rsid w:val="00340665"/>
    <w:rsid w:val="00387699"/>
    <w:rsid w:val="003A2A75"/>
    <w:rsid w:val="003F3B74"/>
    <w:rsid w:val="00424E1A"/>
    <w:rsid w:val="0043379B"/>
    <w:rsid w:val="004651AC"/>
    <w:rsid w:val="00467BC9"/>
    <w:rsid w:val="0052074D"/>
    <w:rsid w:val="00537E65"/>
    <w:rsid w:val="005F4172"/>
    <w:rsid w:val="005F5CF6"/>
    <w:rsid w:val="006211C8"/>
    <w:rsid w:val="0069520B"/>
    <w:rsid w:val="006A09B1"/>
    <w:rsid w:val="006D4AF8"/>
    <w:rsid w:val="00707BC9"/>
    <w:rsid w:val="0073047A"/>
    <w:rsid w:val="00741BB3"/>
    <w:rsid w:val="0075029B"/>
    <w:rsid w:val="007717A4"/>
    <w:rsid w:val="00772A3D"/>
    <w:rsid w:val="007855B6"/>
    <w:rsid w:val="00785813"/>
    <w:rsid w:val="007A52A5"/>
    <w:rsid w:val="00802F0B"/>
    <w:rsid w:val="00806B58"/>
    <w:rsid w:val="00813EA1"/>
    <w:rsid w:val="0083296E"/>
    <w:rsid w:val="00870549"/>
    <w:rsid w:val="00876B9C"/>
    <w:rsid w:val="0088783E"/>
    <w:rsid w:val="008E6DB7"/>
    <w:rsid w:val="00902885"/>
    <w:rsid w:val="00912C3C"/>
    <w:rsid w:val="0093427D"/>
    <w:rsid w:val="0094283D"/>
    <w:rsid w:val="009B1B9D"/>
    <w:rsid w:val="00A12BDD"/>
    <w:rsid w:val="00A45E50"/>
    <w:rsid w:val="00AC582B"/>
    <w:rsid w:val="00B038F6"/>
    <w:rsid w:val="00B257E4"/>
    <w:rsid w:val="00B34F64"/>
    <w:rsid w:val="00B40686"/>
    <w:rsid w:val="00BD7415"/>
    <w:rsid w:val="00BE7571"/>
    <w:rsid w:val="00C45E65"/>
    <w:rsid w:val="00C46C3F"/>
    <w:rsid w:val="00CB2A8B"/>
    <w:rsid w:val="00D11E67"/>
    <w:rsid w:val="00D578EE"/>
    <w:rsid w:val="00D70644"/>
    <w:rsid w:val="00DA1F78"/>
    <w:rsid w:val="00DF2AF8"/>
    <w:rsid w:val="00E06CBE"/>
    <w:rsid w:val="00E436F0"/>
    <w:rsid w:val="00EA3422"/>
    <w:rsid w:val="00EE4C32"/>
    <w:rsid w:val="00EF62C2"/>
    <w:rsid w:val="00F15427"/>
    <w:rsid w:val="00F54B9D"/>
    <w:rsid w:val="00FA0596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  <w:style w:type="paragraph" w:styleId="ab">
    <w:name w:val="Normal (Web)"/>
    <w:basedOn w:val="a"/>
    <w:uiPriority w:val="99"/>
    <w:unhideWhenUsed/>
    <w:rsid w:val="0042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D578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  <w:style w:type="paragraph" w:styleId="ab">
    <w:name w:val="Normal (Web)"/>
    <w:basedOn w:val="a"/>
    <w:uiPriority w:val="99"/>
    <w:unhideWhenUsed/>
    <w:rsid w:val="0042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D57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Геворгян</dc:creator>
  <cp:lastModifiedBy>Pantyuhina</cp:lastModifiedBy>
  <cp:revision>9</cp:revision>
  <cp:lastPrinted>2024-02-15T14:38:00Z</cp:lastPrinted>
  <dcterms:created xsi:type="dcterms:W3CDTF">2024-02-05T09:54:00Z</dcterms:created>
  <dcterms:modified xsi:type="dcterms:W3CDTF">2025-01-23T07:18:00Z</dcterms:modified>
</cp:coreProperties>
</file>