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"Инструкция по организации консультирования судей судов общей юрисдикции, военных и арбитражных судов, мировых судей по вопросам предупреждения коррупции, предотвращения конфликта интересов и соблюдения этических требований к поведению судьи"</w:t>
              <w:br/>
              <w:t xml:space="preserve">(утв. постановлением Президиума Совета судей РФ от 03.12.2018 N 689)</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26.10.2025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Президиума</w:t>
      </w:r>
    </w:p>
    <w:p>
      <w:pPr>
        <w:pStyle w:val="0"/>
        <w:jc w:val="right"/>
      </w:pPr>
      <w:r>
        <w:rPr>
          <w:sz w:val="24"/>
        </w:rPr>
        <w:t xml:space="preserve">Совета судей</w:t>
      </w:r>
    </w:p>
    <w:p>
      <w:pPr>
        <w:pStyle w:val="0"/>
        <w:jc w:val="right"/>
      </w:pPr>
      <w:r>
        <w:rPr>
          <w:sz w:val="24"/>
        </w:rPr>
        <w:t xml:space="preserve">Российской Федерации</w:t>
      </w:r>
    </w:p>
    <w:p>
      <w:pPr>
        <w:pStyle w:val="0"/>
        <w:jc w:val="right"/>
      </w:pPr>
      <w:r>
        <w:rPr>
          <w:sz w:val="24"/>
        </w:rPr>
        <w:t xml:space="preserve">от 3 декабря 2018 г. N 689</w:t>
      </w:r>
    </w:p>
    <w:p>
      <w:pPr>
        <w:pStyle w:val="0"/>
        <w:jc w:val="center"/>
      </w:pPr>
      <w:r>
        <w:rPr>
          <w:sz w:val="24"/>
        </w:rPr>
      </w:r>
    </w:p>
    <w:p>
      <w:pPr>
        <w:pStyle w:val="2"/>
        <w:jc w:val="center"/>
      </w:pPr>
      <w:r>
        <w:rPr>
          <w:sz w:val="24"/>
        </w:rPr>
        <w:t xml:space="preserve">ИНСТРУКЦИЯ</w:t>
      </w:r>
    </w:p>
    <w:p>
      <w:pPr>
        <w:pStyle w:val="2"/>
        <w:jc w:val="center"/>
      </w:pPr>
      <w:r>
        <w:rPr>
          <w:sz w:val="24"/>
        </w:rPr>
        <w:t xml:space="preserve">ПО ОРГАНИЗАЦИИ КОНСУЛЬТИРОВАНИЯ СУДЕЙ СУДОВ ОБЩЕЙ</w:t>
      </w:r>
    </w:p>
    <w:p>
      <w:pPr>
        <w:pStyle w:val="2"/>
        <w:jc w:val="center"/>
      </w:pPr>
      <w:r>
        <w:rPr>
          <w:sz w:val="24"/>
        </w:rPr>
        <w:t xml:space="preserve">ЮРИСДИКЦИИ, ВОЕННЫХ И АРБИТРАЖНЫХ СУДОВ, МИРОВЫХ СУДЕЙ</w:t>
      </w:r>
    </w:p>
    <w:p>
      <w:pPr>
        <w:pStyle w:val="2"/>
        <w:jc w:val="center"/>
      </w:pPr>
      <w:r>
        <w:rPr>
          <w:sz w:val="24"/>
        </w:rPr>
        <w:t xml:space="preserve">ПО ВОПРОСАМ ПРЕДУПРЕЖДЕНИЯ КОРРУПЦИИ, ПРЕДОТВРАЩЕНИЯ</w:t>
      </w:r>
    </w:p>
    <w:p>
      <w:pPr>
        <w:pStyle w:val="2"/>
        <w:jc w:val="center"/>
      </w:pPr>
      <w:r>
        <w:rPr>
          <w:sz w:val="24"/>
        </w:rPr>
        <w:t xml:space="preserve">КОНФЛИКТА ИНТЕРЕСОВ И СОБЛЮДЕНИЯ ЭТИЧЕСКИХ</w:t>
      </w:r>
    </w:p>
    <w:p>
      <w:pPr>
        <w:pStyle w:val="2"/>
        <w:jc w:val="center"/>
      </w:pPr>
      <w:r>
        <w:rPr>
          <w:sz w:val="24"/>
        </w:rPr>
        <w:t xml:space="preserve">ТРЕБОВАНИЙ К ПОВЕДЕНИЮ СУДЬИ</w:t>
      </w:r>
    </w:p>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1.1. 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
    <w:p>
      <w:pPr>
        <w:pStyle w:val="0"/>
        <w:spacing w:before="240" w:lineRule="auto"/>
        <w:ind w:firstLine="540"/>
        <w:jc w:val="both"/>
      </w:pPr>
      <w:r>
        <w:rPr>
          <w:sz w:val="24"/>
        </w:rPr>
        <w:t xml:space="preserve">1.2. 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pPr>
        <w:pStyle w:val="0"/>
        <w:spacing w:before="240" w:lineRule="auto"/>
        <w:ind w:firstLine="540"/>
        <w:jc w:val="both"/>
      </w:pPr>
      <w:r>
        <w:rPr>
          <w:sz w:val="24"/>
        </w:rPr>
        <w:t xml:space="preserve">1.3. 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pPr>
        <w:pStyle w:val="0"/>
        <w:spacing w:before="240" w:lineRule="auto"/>
        <w:ind w:firstLine="540"/>
        <w:jc w:val="both"/>
      </w:pPr>
      <w:r>
        <w:rPr>
          <w:sz w:val="24"/>
        </w:rPr>
        <w:t xml:space="preserve">1.4. Консультирование судей основывается на принципах независимости судьи и недопустимости вмешательства в деятельность судьи.</w:t>
      </w:r>
    </w:p>
    <w:p>
      <w:pPr>
        <w:pStyle w:val="0"/>
        <w:spacing w:before="240" w:lineRule="auto"/>
        <w:ind w:firstLine="540"/>
        <w:jc w:val="both"/>
      </w:pPr>
      <w:r>
        <w:rPr>
          <w:sz w:val="24"/>
        </w:rPr>
        <w:t xml:space="preserve">1.5. Консультирование носит рекомендательный характер и не снимает с судьи его личной ответственности за выбор той или иной модели поведения и действий.</w:t>
      </w:r>
    </w:p>
    <w:p>
      <w:pPr>
        <w:pStyle w:val="0"/>
        <w:jc w:val="center"/>
      </w:pPr>
      <w:r>
        <w:rPr>
          <w:sz w:val="24"/>
        </w:rPr>
      </w:r>
    </w:p>
    <w:p>
      <w:pPr>
        <w:pStyle w:val="2"/>
        <w:outlineLvl w:val="1"/>
        <w:jc w:val="center"/>
      </w:pPr>
      <w:r>
        <w:rPr>
          <w:sz w:val="24"/>
        </w:rPr>
        <w:t xml:space="preserve">II. Порядок и форма получения судьями консультаций</w:t>
      </w:r>
    </w:p>
    <w:p>
      <w:pPr>
        <w:pStyle w:val="2"/>
        <w:jc w:val="center"/>
      </w:pPr>
      <w:r>
        <w:rPr>
          <w:sz w:val="24"/>
        </w:rPr>
        <w:t xml:space="preserve">по вопросам предупреждения коррупции, предотвращения</w:t>
      </w:r>
    </w:p>
    <w:p>
      <w:pPr>
        <w:pStyle w:val="2"/>
        <w:jc w:val="center"/>
      </w:pPr>
      <w:r>
        <w:rPr>
          <w:sz w:val="24"/>
        </w:rPr>
        <w:t xml:space="preserve">конфликта интересов и соблюдения этических требований</w:t>
      </w:r>
    </w:p>
    <w:p>
      <w:pPr>
        <w:pStyle w:val="2"/>
        <w:jc w:val="center"/>
      </w:pPr>
      <w:r>
        <w:rPr>
          <w:sz w:val="24"/>
        </w:rPr>
        <w:t xml:space="preserve">к поведению судьи</w:t>
      </w:r>
    </w:p>
    <w:p>
      <w:pPr>
        <w:pStyle w:val="0"/>
        <w:jc w:val="center"/>
      </w:pPr>
      <w:r>
        <w:rPr>
          <w:sz w:val="24"/>
        </w:rPr>
      </w:r>
    </w:p>
    <w:bookmarkStart w:id="27" w:name="P27"/>
    <w:bookmarkEnd w:id="27"/>
    <w:p>
      <w:pPr>
        <w:pStyle w:val="0"/>
        <w:ind w:firstLine="540"/>
        <w:jc w:val="both"/>
      </w:pPr>
      <w:r>
        <w:rPr>
          <w:sz w:val="24"/>
        </w:rPr>
        <w:t xml:space="preserve">2.1. При наличии вопросов, связанных с соблюдением этических требований к поведению судьи, судья, за исключением судей, указанных в </w:t>
      </w:r>
      <w:hyperlink w:history="0" w:anchor="P30" w:tooltip="2.3. 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
        <w:r>
          <w:rPr>
            <w:sz w:val="24"/>
            <w:color w:val="0000ff"/>
          </w:rPr>
          <w:t xml:space="preserve">п. 2.3</w:t>
        </w:r>
      </w:hyperlink>
      <w:r>
        <w:rPr>
          <w:sz w:val="24"/>
        </w:rPr>
        <w:t xml:space="preserve">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w:t>
      </w:r>
    </w:p>
    <w:p>
      <w:pPr>
        <w:pStyle w:val="0"/>
        <w:spacing w:before="240" w:lineRule="auto"/>
        <w:ind w:firstLine="540"/>
        <w:jc w:val="both"/>
      </w:pPr>
      <w:r>
        <w:rPr>
          <w:sz w:val="24"/>
        </w:rPr>
        <w:t xml:space="preserve">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w:t>
      </w:r>
      <w:hyperlink w:history="0" r:id="rId8" w:tooltip="&quot;Кодекс судейской этики&quot; (утв. VIII Всероссийским съездом судей 19.12.2012) (ред. от 01.12.2022) {КонсультантПлюс}">
        <w:r>
          <w:rPr>
            <w:sz w:val="24"/>
            <w:color w:val="0000ff"/>
          </w:rPr>
          <w:t xml:space="preserve">п. 5 ст. 2</w:t>
        </w:r>
      </w:hyperlink>
      <w:r>
        <w:rPr>
          <w:sz w:val="24"/>
        </w:rPr>
        <w:t xml:space="preserve"> Кодекса судейской этики.</w:t>
      </w:r>
    </w:p>
    <w:bookmarkStart w:id="29" w:name="P29"/>
    <w:bookmarkEnd w:id="29"/>
    <w:p>
      <w:pPr>
        <w:pStyle w:val="0"/>
        <w:spacing w:before="240" w:lineRule="auto"/>
        <w:ind w:firstLine="540"/>
        <w:jc w:val="both"/>
      </w:pPr>
      <w:r>
        <w:rPr>
          <w:sz w:val="24"/>
        </w:rPr>
        <w:t xml:space="preserve">2.2. При наличии вопросов, связанных с предотвращением конфликта интересов, судья, за исключением судей, указанных в </w:t>
      </w:r>
      <w:hyperlink w:history="0" w:anchor="P30" w:tooltip="2.3. 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
        <w:r>
          <w:rPr>
            <w:sz w:val="24"/>
            <w:color w:val="0000ff"/>
          </w:rPr>
          <w:t xml:space="preserve">п. 2.3</w:t>
        </w:r>
      </w:hyperlink>
      <w:r>
        <w:rPr>
          <w:sz w:val="24"/>
        </w:rPr>
        <w:t xml:space="preserve">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bookmarkStart w:id="30" w:name="P30"/>
    <w:bookmarkEnd w:id="30"/>
    <w:p>
      <w:pPr>
        <w:pStyle w:val="0"/>
        <w:spacing w:before="240" w:lineRule="auto"/>
        <w:ind w:firstLine="540"/>
        <w:jc w:val="both"/>
      </w:pPr>
      <w:r>
        <w:rPr>
          <w:sz w:val="24"/>
        </w:rPr>
        <w:t xml:space="preserve">2.3. 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 - в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bookmarkStart w:id="31" w:name="P31"/>
    <w:bookmarkEnd w:id="31"/>
    <w:p>
      <w:pPr>
        <w:pStyle w:val="0"/>
        <w:spacing w:before="240" w:lineRule="auto"/>
        <w:ind w:firstLine="540"/>
        <w:jc w:val="both"/>
      </w:pPr>
      <w:r>
        <w:rPr>
          <w:sz w:val="24"/>
        </w:rPr>
        <w:t xml:space="preserve">2.4. 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 суд по территории нахождения судебного участка.</w:t>
      </w:r>
    </w:p>
    <w:p>
      <w:pPr>
        <w:pStyle w:val="0"/>
        <w:spacing w:before="240" w:lineRule="auto"/>
        <w:ind w:firstLine="540"/>
        <w:jc w:val="both"/>
      </w:pPr>
      <w:r>
        <w:rPr>
          <w:sz w:val="24"/>
        </w:rPr>
        <w:t xml:space="preserve">2.5. Подразделение управления Судебного департамента в 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антикоррупционного законодательства Российской Федерации, обзоры типичных ошибок при заполнении справок о доходах, расходах, об имуществе и обязательствах имущественного характера для руководства в работе при осуществлении работником аппарата суда консультативной помощи.</w:t>
      </w:r>
    </w:p>
    <w:bookmarkStart w:id="33" w:name="P33"/>
    <w:bookmarkEnd w:id="33"/>
    <w:p>
      <w:pPr>
        <w:pStyle w:val="0"/>
        <w:spacing w:before="240" w:lineRule="auto"/>
        <w:ind w:firstLine="540"/>
        <w:jc w:val="both"/>
      </w:pPr>
      <w:r>
        <w:rPr>
          <w:sz w:val="24"/>
        </w:rPr>
        <w:t xml:space="preserve">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pPr>
        <w:pStyle w:val="0"/>
        <w:spacing w:before="240" w:lineRule="auto"/>
        <w:ind w:firstLine="540"/>
        <w:jc w:val="both"/>
      </w:pPr>
      <w:r>
        <w:rPr>
          <w:sz w:val="24"/>
        </w:rPr>
        <w:t xml:space="preserve">2.7. При осуществлении консультации, указанной в </w:t>
      </w:r>
      <w:hyperlink w:history="0" w:anchor="P33" w:tooltip="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
        <w:r>
          <w:rPr>
            <w:sz w:val="24"/>
            <w:color w:val="0000ff"/>
          </w:rPr>
          <w:t xml:space="preserve">п. 2.6</w:t>
        </w:r>
      </w:hyperlink>
      <w:r>
        <w:rPr>
          <w:sz w:val="24"/>
        </w:rPr>
        <w:t xml:space="preserve"> Инструкции, необходимо руководствоваться:</w:t>
      </w:r>
    </w:p>
    <w:p>
      <w:pPr>
        <w:pStyle w:val="0"/>
        <w:spacing w:before="240" w:lineRule="auto"/>
        <w:ind w:firstLine="540"/>
        <w:jc w:val="both"/>
      </w:pPr>
      <w:hyperlink w:history="0" r:id="rId9" w:tooltip="Постановление Президиума Верховного Суда РФ от 14.06.2017 &quot;Об утверждении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quot; ------------ Недействующая редакция {КонсультантПлюс}">
        <w:r>
          <w:rPr>
            <w:sz w:val="24"/>
            <w:color w:val="0000ff"/>
          </w:rPr>
          <w:t xml:space="preserve">Положением</w:t>
        </w:r>
      </w:hyperlink>
      <w:r>
        <w:rPr>
          <w:sz w:val="24"/>
        </w:rPr>
        <w:t xml:space="preserve">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pPr>
        <w:pStyle w:val="0"/>
        <w:spacing w:before="240" w:lineRule="auto"/>
        <w:ind w:firstLine="540"/>
        <w:jc w:val="both"/>
      </w:pPr>
      <w:r>
        <w:rPr>
          <w:sz w:val="24"/>
        </w:rPr>
        <w:t xml:space="preserve">Методическими </w:t>
      </w:r>
      <w:hyperlink w:history="0" r:id="rId10" w:tooltip="Постановление Президиума Верховного Суда РФ от 26.06.2015 &quot;Об утверждении Методических рекомендаций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quot; {КонсультантПлюс}">
        <w:r>
          <w:rPr>
            <w:sz w:val="24"/>
            <w:color w:val="0000ff"/>
          </w:rPr>
          <w:t xml:space="preserve">рекомендациями</w:t>
        </w:r>
      </w:hyperlink>
      <w:r>
        <w:rPr>
          <w:sz w:val="24"/>
        </w:rP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супруги (супруга) и несовершеннолетних детей, утвержденными постановлением Президиума Верховного Суда Российской Федерации;</w:t>
      </w:r>
    </w:p>
    <w:p>
      <w:pPr>
        <w:pStyle w:val="0"/>
        <w:spacing w:before="240" w:lineRule="auto"/>
        <w:ind w:firstLine="540"/>
        <w:jc w:val="both"/>
      </w:pPr>
      <w:r>
        <w:rPr>
          <w:sz w:val="24"/>
        </w:rPr>
        <w:t xml:space="preserve">Методическими </w:t>
      </w:r>
      <w:hyperlink w:history="0" r:id="rId11" w:tooltip="&quot;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8 году (за отчетный 2017 год)&quot; {КонсультантПлюс}">
        <w:r>
          <w:rPr>
            <w:sz w:val="24"/>
            <w:color w:val="0000ff"/>
          </w:rPr>
          <w:t xml:space="preserve">рекомендациями</w:t>
        </w:r>
      </w:hyperlink>
      <w:r>
        <w:rPr>
          <w:sz w:val="24"/>
        </w:rP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Российской Федерации на актуальный период проведения декларационной кампании;</w:t>
      </w:r>
    </w:p>
    <w:p>
      <w:pPr>
        <w:pStyle w:val="0"/>
        <w:spacing w:before="240" w:lineRule="auto"/>
        <w:ind w:firstLine="540"/>
        <w:jc w:val="both"/>
      </w:pPr>
      <w:hyperlink w:history="0" r:id="rId12" w:tooltip="Приказ Судебного департамента при Верховном Суде РФ от 04.04.2016 N 71 (ред. от 10.09.2018) &quot;Об утверждении Положения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КонсультантПлюс}">
        <w:r>
          <w:rPr>
            <w:sz w:val="24"/>
            <w:color w:val="0000ff"/>
          </w:rPr>
          <w:t xml:space="preserve">Положением</w:t>
        </w:r>
      </w:hyperlink>
      <w:r>
        <w:rPr>
          <w:sz w:val="24"/>
        </w:rPr>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утвержденным приказом Судебного департамента при Верховном Суде Российской Федерации от 4 апреля 2016 г. N 71.</w:t>
      </w:r>
    </w:p>
    <w:bookmarkStart w:id="39" w:name="P39"/>
    <w:bookmarkEnd w:id="39"/>
    <w:p>
      <w:pPr>
        <w:pStyle w:val="0"/>
        <w:spacing w:before="240" w:lineRule="auto"/>
        <w:ind w:firstLine="540"/>
        <w:jc w:val="both"/>
      </w:pPr>
      <w:r>
        <w:rPr>
          <w:sz w:val="24"/>
        </w:rPr>
        <w:t xml:space="preserve">2.8. Судья обращается за консультацией, предусмотренной </w:t>
      </w:r>
      <w:hyperlink w:history="0" w:anchor="P27" w:tooltip="2.1. При наличии вопросов, связанных с соблюдением этических требований к поведению судьи, судья, за исключением судей, указанных в п. 2.3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
        <w:r>
          <w:rPr>
            <w:sz w:val="24"/>
            <w:color w:val="0000ff"/>
          </w:rPr>
          <w:t xml:space="preserve">пп. 2.1</w:t>
        </w:r>
      </w:hyperlink>
      <w:r>
        <w:rPr>
          <w:sz w:val="24"/>
        </w:rPr>
        <w:t xml:space="preserve"> и </w:t>
      </w:r>
      <w:hyperlink w:history="0" w:anchor="P29" w:tooltip="2.2. При наличии вопросов, связанных с предотвращением конфликта интересов, судья, за исключением судей, указанных в п. 2.3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
        <w:r>
          <w:rPr>
            <w:sz w:val="24"/>
            <w:color w:val="0000ff"/>
          </w:rPr>
          <w:t xml:space="preserve">2.2</w:t>
        </w:r>
      </w:hyperlink>
      <w:r>
        <w:rPr>
          <w:sz w:val="24"/>
        </w:rPr>
        <w:t xml:space="preserve">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председателя соответствующей комиссии совета судей субъекта Российской Федерации.</w:t>
      </w:r>
    </w:p>
    <w:p>
      <w:pPr>
        <w:pStyle w:val="0"/>
        <w:spacing w:before="240" w:lineRule="auto"/>
        <w:ind w:firstLine="540"/>
        <w:jc w:val="both"/>
      </w:pPr>
      <w:r>
        <w:rPr>
          <w:sz w:val="24"/>
        </w:rPr>
        <w:t xml:space="preserve">2.9. Обращение судьи, указанное в </w:t>
      </w:r>
      <w:hyperlink w:history="0" w:anchor="P39" w:tooltip="2.8. Судья обращается за консультацией, предусмотренной пп. 2.1 и 2.2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председателя соответствующей комиссии совета судей субъекта Российской Федерации.">
        <w:r>
          <w:rPr>
            <w:sz w:val="24"/>
            <w:color w:val="0000ff"/>
          </w:rPr>
          <w:t xml:space="preserve">п. 2.8</w:t>
        </w:r>
      </w:hyperlink>
      <w:r>
        <w:rPr>
          <w:sz w:val="24"/>
        </w:rPr>
        <w:t xml:space="preserve">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w:t>
      </w:r>
      <w:hyperlink w:history="0" w:anchor="P63" w:tooltip="Журнал">
        <w:r>
          <w:rPr>
            <w:sz w:val="24"/>
            <w:color w:val="0000ff"/>
          </w:rPr>
          <w:t xml:space="preserve">форме</w:t>
        </w:r>
      </w:hyperlink>
      <w:r>
        <w:rPr>
          <w:sz w:val="24"/>
        </w:rPr>
        <w:t xml:space="preserve">, указанной в приложении N 1 к настоящей Инструкции.</w:t>
      </w:r>
    </w:p>
    <w:p>
      <w:pPr>
        <w:pStyle w:val="0"/>
        <w:spacing w:before="240" w:lineRule="auto"/>
        <w:ind w:firstLine="540"/>
        <w:jc w:val="both"/>
      </w:pPr>
      <w:r>
        <w:rPr>
          <w:sz w:val="24"/>
        </w:rPr>
        <w:t xml:space="preserve">2.10. 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
    <w:p>
      <w:pPr>
        <w:pStyle w:val="0"/>
        <w:spacing w:before="240" w:lineRule="auto"/>
        <w:ind w:firstLine="540"/>
        <w:jc w:val="both"/>
      </w:pPr>
      <w:r>
        <w:rPr>
          <w:sz w:val="24"/>
        </w:rPr>
        <w:t xml:space="preserve">2.11. Консультирование судей, предусмотренное в </w:t>
      </w:r>
      <w:hyperlink w:history="0" w:anchor="P31" w:tooltip="2.4. 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 суд по территории ...">
        <w:r>
          <w:rPr>
            <w:sz w:val="24"/>
            <w:color w:val="0000ff"/>
          </w:rPr>
          <w:t xml:space="preserve">пп. 2.4</w:t>
        </w:r>
      </w:hyperlink>
      <w:r>
        <w:rPr>
          <w:sz w:val="24"/>
        </w:rPr>
        <w:t xml:space="preserve">, </w:t>
      </w:r>
      <w:hyperlink w:history="0" w:anchor="P33" w:tooltip="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
        <w:r>
          <w:rPr>
            <w:sz w:val="24"/>
            <w:color w:val="0000ff"/>
          </w:rPr>
          <w:t xml:space="preserve">2.6</w:t>
        </w:r>
      </w:hyperlink>
      <w:r>
        <w:rPr>
          <w:sz w:val="24"/>
        </w:rPr>
        <w:t xml:space="preserve">,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
    <w:p>
      <w:pPr>
        <w:pStyle w:val="0"/>
        <w:spacing w:before="240" w:lineRule="auto"/>
        <w:ind w:firstLine="540"/>
        <w:jc w:val="both"/>
      </w:pPr>
      <w:r>
        <w:rPr>
          <w:sz w:val="24"/>
        </w:rPr>
        <w:t xml:space="preserve">2.12.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о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pPr>
        <w:pStyle w:val="0"/>
        <w:spacing w:before="240" w:lineRule="auto"/>
        <w:ind w:firstLine="540"/>
        <w:jc w:val="both"/>
      </w:pPr>
      <w:r>
        <w:rPr>
          <w:sz w:val="24"/>
        </w:rPr>
        <w:t xml:space="preserve">2.13.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pPr>
        <w:pStyle w:val="0"/>
        <w:spacing w:before="240" w:lineRule="auto"/>
        <w:ind w:firstLine="540"/>
        <w:jc w:val="both"/>
      </w:pPr>
      <w:r>
        <w:rPr>
          <w:sz w:val="24"/>
        </w:rPr>
        <w:t xml:space="preserve">2.14.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Приложение N 1</w:t>
      </w:r>
    </w:p>
    <w:p>
      <w:pPr>
        <w:pStyle w:val="0"/>
        <w:jc w:val="right"/>
      </w:pPr>
      <w:r>
        <w:rPr>
          <w:sz w:val="24"/>
        </w:rPr>
        <w:t xml:space="preserve">к Инструкции по организации</w:t>
      </w:r>
    </w:p>
    <w:p>
      <w:pPr>
        <w:pStyle w:val="0"/>
        <w:jc w:val="right"/>
      </w:pPr>
      <w:r>
        <w:rPr>
          <w:sz w:val="24"/>
        </w:rPr>
        <w:t xml:space="preserve">консультирования судей</w:t>
      </w:r>
    </w:p>
    <w:p>
      <w:pPr>
        <w:pStyle w:val="0"/>
        <w:jc w:val="right"/>
      </w:pPr>
      <w:r>
        <w:rPr>
          <w:sz w:val="24"/>
        </w:rPr>
        <w:t xml:space="preserve">судов общей юрисдикции,</w:t>
      </w:r>
    </w:p>
    <w:p>
      <w:pPr>
        <w:pStyle w:val="0"/>
        <w:jc w:val="right"/>
      </w:pPr>
      <w:r>
        <w:rPr>
          <w:sz w:val="24"/>
        </w:rPr>
        <w:t xml:space="preserve">военных и арбитражных судов,</w:t>
      </w:r>
    </w:p>
    <w:p>
      <w:pPr>
        <w:pStyle w:val="0"/>
        <w:jc w:val="right"/>
      </w:pPr>
      <w:r>
        <w:rPr>
          <w:sz w:val="24"/>
        </w:rPr>
        <w:t xml:space="preserve">мировых судей по вопросам</w:t>
      </w:r>
    </w:p>
    <w:p>
      <w:pPr>
        <w:pStyle w:val="0"/>
        <w:jc w:val="right"/>
      </w:pPr>
      <w:r>
        <w:rPr>
          <w:sz w:val="24"/>
        </w:rPr>
        <w:t xml:space="preserve">предупреждения коррупции,</w:t>
      </w:r>
    </w:p>
    <w:p>
      <w:pPr>
        <w:pStyle w:val="0"/>
        <w:jc w:val="right"/>
      </w:pPr>
      <w:r>
        <w:rPr>
          <w:sz w:val="24"/>
        </w:rPr>
        <w:t xml:space="preserve">предотвращения конфликта</w:t>
      </w:r>
    </w:p>
    <w:p>
      <w:pPr>
        <w:pStyle w:val="0"/>
        <w:jc w:val="right"/>
      </w:pPr>
      <w:r>
        <w:rPr>
          <w:sz w:val="24"/>
        </w:rPr>
        <w:t xml:space="preserve">интересов и соблюдения</w:t>
      </w:r>
    </w:p>
    <w:p>
      <w:pPr>
        <w:pStyle w:val="0"/>
        <w:jc w:val="right"/>
      </w:pPr>
      <w:r>
        <w:rPr>
          <w:sz w:val="24"/>
        </w:rPr>
        <w:t xml:space="preserve">этических требований</w:t>
      </w:r>
    </w:p>
    <w:p>
      <w:pPr>
        <w:pStyle w:val="0"/>
        <w:jc w:val="right"/>
      </w:pPr>
      <w:r>
        <w:rPr>
          <w:sz w:val="24"/>
        </w:rPr>
        <w:t xml:space="preserve">к поведению судьи</w:t>
      </w:r>
    </w:p>
    <w:p>
      <w:pPr>
        <w:pStyle w:val="0"/>
        <w:jc w:val="center"/>
      </w:pPr>
      <w:r>
        <w:rPr>
          <w:sz w:val="24"/>
        </w:rPr>
      </w:r>
    </w:p>
    <w:bookmarkStart w:id="63" w:name="P63"/>
    <w:bookmarkEnd w:id="63"/>
    <w:p>
      <w:pPr>
        <w:pStyle w:val="0"/>
        <w:jc w:val="center"/>
      </w:pPr>
      <w:r>
        <w:rPr>
          <w:sz w:val="24"/>
        </w:rPr>
        <w:t xml:space="preserve">Журнал</w:t>
      </w:r>
    </w:p>
    <w:p>
      <w:pPr>
        <w:pStyle w:val="0"/>
        <w:jc w:val="center"/>
      </w:pPr>
      <w:r>
        <w:rPr>
          <w:sz w:val="24"/>
        </w:rPr>
        <w:t xml:space="preserve">регистрации обращений судей за консультацией по вопросам</w:t>
      </w:r>
    </w:p>
    <w:p>
      <w:pPr>
        <w:pStyle w:val="0"/>
        <w:jc w:val="center"/>
      </w:pPr>
      <w:r>
        <w:rPr>
          <w:sz w:val="24"/>
        </w:rPr>
        <w:t xml:space="preserve">предупреждения коррупции, предотвращения конфликта интересов</w:t>
      </w:r>
    </w:p>
    <w:p>
      <w:pPr>
        <w:pStyle w:val="0"/>
        <w:jc w:val="center"/>
      </w:pPr>
      <w:r>
        <w:rPr>
          <w:sz w:val="24"/>
        </w:rPr>
        <w:t xml:space="preserve">и соблюдения этических требований к поведению судьи</w:t>
      </w:r>
    </w:p>
    <w:p>
      <w:pPr>
        <w:pStyle w:val="0"/>
        <w:jc w:val="center"/>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396"/>
        <w:gridCol w:w="1417"/>
        <w:gridCol w:w="1020"/>
        <w:gridCol w:w="1303"/>
        <w:gridCol w:w="1029"/>
        <w:gridCol w:w="1152"/>
        <w:gridCol w:w="936"/>
        <w:gridCol w:w="1071"/>
        <w:gridCol w:w="742"/>
      </w:tblGrid>
      <w:tr>
        <w:tc>
          <w:tcPr>
            <w:tcW w:w="396" w:type="dxa"/>
            <w:tcBorders>
              <w:top w:val="single" w:sz="4"/>
              <w:bottom w:val="single" w:sz="4"/>
            </w:tcBorders>
          </w:tcPr>
          <w:p>
            <w:pPr>
              <w:pStyle w:val="0"/>
              <w:jc w:val="center"/>
            </w:pPr>
            <w:r>
              <w:rPr>
                <w:sz w:val="24"/>
              </w:rPr>
              <w:t xml:space="preserve">N п/п</w:t>
            </w:r>
          </w:p>
        </w:tc>
        <w:tc>
          <w:tcPr>
            <w:tcW w:w="1417" w:type="dxa"/>
            <w:tcBorders>
              <w:top w:val="single" w:sz="4"/>
              <w:bottom w:val="single" w:sz="4"/>
            </w:tcBorders>
          </w:tcPr>
          <w:p>
            <w:pPr>
              <w:pStyle w:val="0"/>
              <w:jc w:val="center"/>
            </w:pPr>
            <w:r>
              <w:rPr>
                <w:sz w:val="24"/>
              </w:rPr>
              <w:t xml:space="preserve">Фамилия, имя, отчество судьи</w:t>
            </w:r>
          </w:p>
        </w:tc>
        <w:tc>
          <w:tcPr>
            <w:tcW w:w="1020" w:type="dxa"/>
            <w:tcBorders>
              <w:top w:val="single" w:sz="4"/>
              <w:bottom w:val="single" w:sz="4"/>
            </w:tcBorders>
          </w:tcPr>
          <w:p>
            <w:pPr>
              <w:pStyle w:val="0"/>
              <w:jc w:val="center"/>
            </w:pPr>
            <w:r>
              <w:rPr>
                <w:sz w:val="24"/>
              </w:rPr>
              <w:t xml:space="preserve">Наименование суда</w:t>
            </w:r>
          </w:p>
        </w:tc>
        <w:tc>
          <w:tcPr>
            <w:tcW w:w="1303" w:type="dxa"/>
            <w:tcBorders>
              <w:top w:val="single" w:sz="4"/>
              <w:bottom w:val="single" w:sz="4"/>
            </w:tcBorders>
          </w:tcPr>
          <w:p>
            <w:pPr>
              <w:pStyle w:val="0"/>
              <w:jc w:val="center"/>
            </w:pPr>
            <w:r>
              <w:rPr>
                <w:sz w:val="24"/>
              </w:rPr>
              <w:t xml:space="preserve">Дата поступления обращения</w:t>
            </w:r>
          </w:p>
        </w:tc>
        <w:tc>
          <w:tcPr>
            <w:tcW w:w="1029" w:type="dxa"/>
            <w:tcBorders>
              <w:top w:val="single" w:sz="4"/>
              <w:bottom w:val="single" w:sz="4"/>
            </w:tcBorders>
          </w:tcPr>
          <w:p>
            <w:pPr>
              <w:pStyle w:val="0"/>
              <w:jc w:val="center"/>
            </w:pPr>
            <w:r>
              <w:rPr>
                <w:sz w:val="24"/>
              </w:rPr>
              <w:t xml:space="preserve">Форма обращения</w:t>
            </w:r>
          </w:p>
        </w:tc>
        <w:tc>
          <w:tcPr>
            <w:tcW w:w="1152" w:type="dxa"/>
            <w:tcBorders>
              <w:top w:val="single" w:sz="4"/>
              <w:bottom w:val="single" w:sz="4"/>
            </w:tcBorders>
          </w:tcPr>
          <w:p>
            <w:pPr>
              <w:pStyle w:val="0"/>
              <w:jc w:val="center"/>
            </w:pPr>
            <w:r>
              <w:rPr>
                <w:sz w:val="24"/>
              </w:rPr>
              <w:t xml:space="preserve">Лицо, осуществившее консультирование</w:t>
            </w:r>
          </w:p>
        </w:tc>
        <w:tc>
          <w:tcPr>
            <w:tcW w:w="936" w:type="dxa"/>
            <w:tcBorders>
              <w:top w:val="single" w:sz="4"/>
              <w:bottom w:val="single" w:sz="4"/>
            </w:tcBorders>
          </w:tcPr>
          <w:p>
            <w:pPr>
              <w:pStyle w:val="0"/>
              <w:jc w:val="center"/>
            </w:pPr>
            <w:r>
              <w:rPr>
                <w:sz w:val="24"/>
              </w:rPr>
              <w:t xml:space="preserve">Дата оказания консультации</w:t>
            </w:r>
          </w:p>
        </w:tc>
        <w:tc>
          <w:tcPr>
            <w:tcW w:w="1071" w:type="dxa"/>
            <w:tcBorders>
              <w:top w:val="single" w:sz="4"/>
              <w:bottom w:val="single" w:sz="4"/>
            </w:tcBorders>
          </w:tcPr>
          <w:p>
            <w:pPr>
              <w:pStyle w:val="0"/>
              <w:jc w:val="center"/>
            </w:pPr>
            <w:r>
              <w:rPr>
                <w:sz w:val="24"/>
              </w:rPr>
              <w:t xml:space="preserve">Форма оказания консультации</w:t>
            </w:r>
          </w:p>
        </w:tc>
        <w:tc>
          <w:tcPr>
            <w:tcW w:w="742" w:type="dxa"/>
            <w:tcBorders>
              <w:top w:val="single" w:sz="4"/>
              <w:bottom w:val="single" w:sz="4"/>
            </w:tcBorders>
          </w:tcPr>
          <w:p>
            <w:pPr>
              <w:pStyle w:val="0"/>
              <w:jc w:val="center"/>
            </w:pPr>
            <w:r>
              <w:rPr>
                <w:sz w:val="24"/>
              </w:rPr>
              <w:t xml:space="preserve">Примечание</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"Инструкция по организации консультирования судей судов общей юрисдикции, военных и арбитражных судов, мировых судей по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33844&amp;date=26.10.2025&amp;dst=100017&amp;field=134&amp;demo=2" TargetMode = "External"/><Relationship Id="rId9" Type="http://schemas.openxmlformats.org/officeDocument/2006/relationships/hyperlink" Target="https://login.consultant.ru/link/?req=doc&amp;base=ARB&amp;n=520818&amp;date=26.10.2025&amp;dst=100011&amp;field=134&amp;demo=2" TargetMode = "External"/><Relationship Id="rId10" Type="http://schemas.openxmlformats.org/officeDocument/2006/relationships/hyperlink" Target="https://login.consultant.ru/link/?req=doc&amp;base=EXP&amp;n=699040&amp;date=26.10.2025&amp;dst=100008&amp;field=134&amp;demo=2" TargetMode = "External"/><Relationship Id="rId11" Type="http://schemas.openxmlformats.org/officeDocument/2006/relationships/hyperlink" Target="https://login.consultant.ru/link/?req=doc&amp;base=LAW&amp;n=286826&amp;date=26.10.2025&amp;demo=2" TargetMode = "External"/><Relationship Id="rId12" Type="http://schemas.openxmlformats.org/officeDocument/2006/relationships/hyperlink" Target="https://login.consultant.ru/link/?req=doc&amp;base=LAW&amp;n=308106&amp;date=26.10.2025&amp;dst=100009&amp;field=134&amp;demo=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организации консультирования судей судов общей юрисдикции, военных и арбитражных судов, мировых судей по вопросам предупреждения коррупции, предотвращения конфликта интересов и соблюдения этических требований к поведению судьи"
(утв. постановлением Президиума Совета судей РФ от 03.12.2018 N 689)</dc:title>
  <dcterms:created xsi:type="dcterms:W3CDTF">2025-10-26T08:44:20Z</dcterms:created>
</cp:coreProperties>
</file>