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proofErr w:type="gramStart"/>
      <w:r w:rsidR="002450A2" w:rsidRPr="008004FB">
        <w:rPr>
          <w:sz w:val="18"/>
          <w:szCs w:val="18"/>
        </w:rPr>
        <w:t>от</w:t>
      </w:r>
      <w:proofErr w:type="gramEnd"/>
      <w:r w:rsidR="002450A2" w:rsidRPr="008004FB">
        <w:rPr>
          <w:sz w:val="18"/>
          <w:szCs w:val="18"/>
        </w:rPr>
        <w:t xml:space="preserve">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  <w:r w:rsidR="001573AC">
        <w:rPr>
          <w:sz w:val="24"/>
          <w:szCs w:val="24"/>
        </w:rPr>
        <w:t xml:space="preserve">отдел </w:t>
      </w:r>
      <w:r w:rsidR="009D283C">
        <w:rPr>
          <w:sz w:val="24"/>
          <w:szCs w:val="24"/>
        </w:rPr>
        <w:t xml:space="preserve">обеспечения судопроизводства </w:t>
      </w:r>
      <w:proofErr w:type="spellStart"/>
      <w:r w:rsidR="009D283C">
        <w:rPr>
          <w:sz w:val="24"/>
          <w:szCs w:val="24"/>
        </w:rPr>
        <w:t>Агаповского</w:t>
      </w:r>
      <w:proofErr w:type="spellEnd"/>
      <w:r w:rsidR="009D283C">
        <w:rPr>
          <w:sz w:val="24"/>
          <w:szCs w:val="24"/>
        </w:rPr>
        <w:t xml:space="preserve"> районного суда Челябинской области</w:t>
      </w:r>
      <w:bookmarkStart w:id="0" w:name="_GoBack"/>
      <w:bookmarkEnd w:id="0"/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  <w:proofErr w:type="gramEnd"/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  <w:proofErr w:type="gramEnd"/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proofErr w:type="gramStart"/>
      <w:r w:rsidRPr="007C315A">
        <w:rPr>
          <w:sz w:val="24"/>
          <w:szCs w:val="24"/>
        </w:rPr>
        <w:t>зарегистрированный</w:t>
      </w:r>
      <w:proofErr w:type="gramEnd"/>
      <w:r w:rsidRPr="007C315A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</w:t>
      </w:r>
      <w:proofErr w:type="gramStart"/>
      <w:r w:rsidRPr="00FF6E6E">
        <w:t>нужное</w:t>
      </w:r>
      <w:proofErr w:type="gramEnd"/>
      <w:r w:rsidRPr="00FF6E6E">
        <w:t xml:space="preserve">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proofErr w:type="gramStart"/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  <w:proofErr w:type="gramEnd"/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 xml:space="preserve">имущественного характера по состоянию </w:t>
            </w:r>
            <w:proofErr w:type="gramStart"/>
            <w:r w:rsidRPr="007C315A"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proofErr w:type="gramStart"/>
      <w:r w:rsidRPr="00B22B40">
        <w:t> У</w:t>
      </w:r>
      <w:proofErr w:type="gramEnd"/>
      <w:r w:rsidRPr="00B22B40">
        <w:t>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proofErr w:type="gramStart"/>
      <w:r w:rsidRPr="00BD0627">
        <w:t> </w:t>
      </w:r>
      <w:r w:rsidR="00076504" w:rsidRPr="00076504">
        <w:t>В</w:t>
      </w:r>
      <w:proofErr w:type="gramEnd"/>
      <w:r w:rsidR="00076504" w:rsidRPr="00076504">
        <w:t xml:space="preserve">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 xml:space="preserve">. № 230-ФЗ «О </w:t>
      </w:r>
      <w:proofErr w:type="gramStart"/>
      <w:r w:rsidRPr="00425BDA">
        <w:t>контроле за</w:t>
      </w:r>
      <w:proofErr w:type="gramEnd"/>
      <w:r w:rsidRPr="00425BDA"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У</w:t>
      </w:r>
      <w:proofErr w:type="gramEnd"/>
      <w:r w:rsidRPr="00425BDA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</w:t>
      </w:r>
      <w:proofErr w:type="gramStart"/>
      <w:r w:rsidRPr="00A519C5">
        <w:t>транзакции</w:t>
      </w:r>
      <w:proofErr w:type="gramEnd"/>
      <w:r w:rsidRPr="00A519C5">
        <w:t xml:space="preserve">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proofErr w:type="gramStart"/>
      <w:r w:rsidRPr="00213A7F">
        <w:t> У</w:t>
      </w:r>
      <w:proofErr w:type="gramEnd"/>
      <w:r w:rsidRPr="00213A7F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</w:t>
      </w:r>
      <w:r w:rsidR="00CF2340" w:rsidRPr="00CF2340">
        <w:t>У</w:t>
      </w:r>
      <w:proofErr w:type="gramEnd"/>
      <w:r w:rsidR="00CF2340" w:rsidRPr="00CF2340"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213A7F">
        <w:t> </w:t>
      </w:r>
      <w:r w:rsidRPr="00CF2340">
        <w:t>У</w:t>
      </w:r>
      <w:proofErr w:type="gramEnd"/>
      <w:r w:rsidRPr="00CF2340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У</w:t>
      </w:r>
      <w:proofErr w:type="gramEnd"/>
      <w:r w:rsidRPr="00C62DEE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proofErr w:type="gramStart"/>
      <w:r w:rsidRPr="00264EEC">
        <w:t> </w:t>
      </w:r>
      <w:r w:rsidR="00264EEC" w:rsidRPr="00264EEC">
        <w:t>У</w:t>
      </w:r>
      <w:proofErr w:type="gramEnd"/>
      <w:r w:rsidR="00264EEC" w:rsidRPr="00264EEC">
        <w:t>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264EEC" w:rsidRPr="002E5218">
        <w:t>У</w:t>
      </w:r>
      <w:proofErr w:type="gramEnd"/>
      <w:r w:rsidR="00264EEC" w:rsidRPr="002E5218"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F97C3C" w:rsidRPr="005B686A">
        <w:t>У</w:t>
      </w:r>
      <w:proofErr w:type="gramEnd"/>
      <w:r w:rsidR="00F97C3C" w:rsidRPr="005B686A">
        <w:t>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proofErr w:type="gramStart"/>
      <w:r w:rsidRPr="00196343">
        <w:t> </w:t>
      </w:r>
      <w:r w:rsidR="006F0D82" w:rsidRPr="00196343">
        <w:t>У</w:t>
      </w:r>
      <w:proofErr w:type="gramEnd"/>
      <w:r w:rsidR="006F0D82" w:rsidRPr="00196343">
        <w:t>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622846">
        <w:t>У</w:t>
      </w:r>
      <w:proofErr w:type="gramEnd"/>
      <w:r w:rsidRPr="00622846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proofErr w:type="gramStart"/>
      <w:r w:rsidRPr="00C62DEE">
        <w:t> </w:t>
      </w:r>
      <w:r w:rsidR="00827572" w:rsidRPr="00827572">
        <w:t>У</w:t>
      </w:r>
      <w:proofErr w:type="gramEnd"/>
      <w:r w:rsidR="00827572" w:rsidRPr="00827572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>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 xml:space="preserve">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У</w:t>
      </w:r>
      <w:proofErr w:type="gramEnd"/>
      <w:r w:rsidRPr="00F21F55">
        <w:t>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У</w:t>
      </w:r>
      <w:proofErr w:type="gramEnd"/>
      <w:r w:rsidRPr="00F21F55">
        <w:t>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У</w:t>
      </w:r>
      <w:proofErr w:type="gramEnd"/>
      <w:r w:rsidRPr="00F21F55">
        <w:t>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У</w:t>
      </w:r>
      <w:proofErr w:type="gramEnd"/>
      <w:r w:rsidRPr="00F21F55">
        <w:t xml:space="preserve">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 xml:space="preserve">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 xml:space="preserve"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F3C" w:rsidRDefault="00445F3C">
      <w:r>
        <w:separator/>
      </w:r>
    </w:p>
  </w:endnote>
  <w:endnote w:type="continuationSeparator" w:id="0">
    <w:p w:rsidR="00445F3C" w:rsidRDefault="00445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F3C" w:rsidRDefault="00445F3C">
      <w:r>
        <w:separator/>
      </w:r>
    </w:p>
  </w:footnote>
  <w:footnote w:type="continuationSeparator" w:id="0">
    <w:p w:rsidR="00445F3C" w:rsidRDefault="00445F3C">
      <w:r>
        <w:continuationSeparator/>
      </w:r>
    </w:p>
  </w:footnote>
  <w:footnote w:id="1">
    <w:p w:rsidR="005545FE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5545FE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573AC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5F3C"/>
    <w:rsid w:val="0044705E"/>
    <w:rsid w:val="0046363C"/>
    <w:rsid w:val="004710EC"/>
    <w:rsid w:val="004A7729"/>
    <w:rsid w:val="004B2CBA"/>
    <w:rsid w:val="004D4FB5"/>
    <w:rsid w:val="004E6445"/>
    <w:rsid w:val="00500773"/>
    <w:rsid w:val="005545FE"/>
    <w:rsid w:val="005A2FFC"/>
    <w:rsid w:val="005B686A"/>
    <w:rsid w:val="005C1FC5"/>
    <w:rsid w:val="005F3862"/>
    <w:rsid w:val="005F6C70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5EC6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D4806"/>
    <w:rsid w:val="008E4E27"/>
    <w:rsid w:val="008F0D30"/>
    <w:rsid w:val="00921EAD"/>
    <w:rsid w:val="00944BA8"/>
    <w:rsid w:val="00956D1B"/>
    <w:rsid w:val="009939AB"/>
    <w:rsid w:val="009D283C"/>
    <w:rsid w:val="009D4749"/>
    <w:rsid w:val="009E01AE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D2C63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A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01A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01AE"/>
    <w:rPr>
      <w:sz w:val="20"/>
      <w:szCs w:val="20"/>
    </w:rPr>
  </w:style>
  <w:style w:type="paragraph" w:styleId="a5">
    <w:name w:val="footer"/>
    <w:basedOn w:val="a"/>
    <w:link w:val="a6"/>
    <w:uiPriority w:val="99"/>
    <w:rsid w:val="009E01A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01AE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9E01AE"/>
  </w:style>
  <w:style w:type="character" w:customStyle="1" w:styleId="a8">
    <w:name w:val="Текст сноски Знак"/>
    <w:basedOn w:val="a0"/>
    <w:link w:val="a7"/>
    <w:uiPriority w:val="99"/>
    <w:semiHidden/>
    <w:rsid w:val="009E01AE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9E01AE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1AE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4</cp:revision>
  <cp:lastPrinted>2022-08-05T08:50:00Z</cp:lastPrinted>
  <dcterms:created xsi:type="dcterms:W3CDTF">2026-04-03T09:33:00Z</dcterms:created>
  <dcterms:modified xsi:type="dcterms:W3CDTF">2026-04-03T09:45:00Z</dcterms:modified>
</cp:coreProperties>
</file>