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C4" w:rsidRPr="00860A9F" w:rsidRDefault="00015CC4" w:rsidP="00FA4076">
      <w:pPr>
        <w:pStyle w:val="ConsPlusNormal"/>
        <w:shd w:val="clear" w:color="auto" w:fill="FFFFFF" w:themeFill="background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A4656" w:rsidRPr="00860A9F" w:rsidRDefault="00BA4656" w:rsidP="006F4096">
      <w:pPr>
        <w:pStyle w:val="ConsPlusNormal"/>
        <w:shd w:val="clear" w:color="auto" w:fill="FFFFFF" w:themeFill="background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Утвержден</w:t>
      </w:r>
    </w:p>
    <w:p w:rsidR="00BA4656" w:rsidRPr="00860A9F" w:rsidRDefault="00BA4656" w:rsidP="006F4096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015CC4" w:rsidRPr="00860A9F">
        <w:rPr>
          <w:rFonts w:ascii="Times New Roman" w:hAnsi="Times New Roman" w:cs="Times New Roman"/>
          <w:sz w:val="28"/>
          <w:szCs w:val="28"/>
        </w:rPr>
        <w:t>Первого кассационного</w:t>
      </w:r>
    </w:p>
    <w:p w:rsidR="00BA4656" w:rsidRPr="00860A9F" w:rsidRDefault="00BA4656" w:rsidP="00015CC4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суда</w:t>
      </w:r>
      <w:r w:rsidR="00015CC4" w:rsidRPr="00860A9F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</w:p>
    <w:p w:rsidR="00FA4076" w:rsidRDefault="00860A9F" w:rsidP="00860A9F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F30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3049">
        <w:rPr>
          <w:rFonts w:ascii="Times New Roman" w:hAnsi="Times New Roman" w:cs="Times New Roman"/>
          <w:sz w:val="28"/>
          <w:szCs w:val="28"/>
        </w:rPr>
        <w:t xml:space="preserve">  </w:t>
      </w:r>
      <w:r w:rsidR="005174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A4656" w:rsidRPr="00860A9F">
        <w:rPr>
          <w:rFonts w:ascii="Times New Roman" w:hAnsi="Times New Roman" w:cs="Times New Roman"/>
          <w:sz w:val="28"/>
          <w:szCs w:val="28"/>
        </w:rPr>
        <w:t xml:space="preserve">от </w:t>
      </w:r>
      <w:r w:rsidR="00106972">
        <w:rPr>
          <w:rFonts w:ascii="Times New Roman" w:hAnsi="Times New Roman" w:cs="Times New Roman"/>
          <w:sz w:val="28"/>
          <w:szCs w:val="28"/>
          <w:u w:val="single"/>
        </w:rPr>
        <w:t>«28»</w:t>
      </w:r>
      <w:r w:rsidR="00DE478A" w:rsidRPr="00860A9F">
        <w:rPr>
          <w:rFonts w:ascii="Times New Roman" w:hAnsi="Times New Roman" w:cs="Times New Roman"/>
          <w:sz w:val="28"/>
          <w:szCs w:val="28"/>
        </w:rPr>
        <w:t xml:space="preserve"> </w:t>
      </w:r>
      <w:r w:rsidR="00106972" w:rsidRPr="00106972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82546D" w:rsidRPr="001069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C0394" w:rsidRPr="00106972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2546D" w:rsidRPr="0010697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1748F" w:rsidRPr="0010697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DE478A" w:rsidRPr="001069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1748F">
        <w:rPr>
          <w:rFonts w:ascii="Times New Roman" w:hAnsi="Times New Roman" w:cs="Times New Roman"/>
          <w:sz w:val="28"/>
          <w:szCs w:val="28"/>
        </w:rPr>
        <w:t xml:space="preserve">г. № </w:t>
      </w:r>
      <w:r w:rsidR="00106972" w:rsidRPr="00106972">
        <w:rPr>
          <w:rFonts w:ascii="Times New Roman" w:hAnsi="Times New Roman" w:cs="Times New Roman"/>
          <w:sz w:val="28"/>
          <w:szCs w:val="28"/>
          <w:u w:val="single"/>
        </w:rPr>
        <w:t>14-од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656" w:rsidRPr="00860A9F" w:rsidRDefault="003F3049" w:rsidP="00FA4076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A40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с изменениями от 04.05.2026 г. (Приказ № 110-од)</w:t>
      </w:r>
    </w:p>
    <w:p w:rsidR="00BA4656" w:rsidRPr="00860A9F" w:rsidRDefault="00BA4656" w:rsidP="006F4096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FA4076" w:rsidRDefault="00FA4076" w:rsidP="006F4096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</w:p>
    <w:p w:rsidR="00BA4656" w:rsidRPr="00860A9F" w:rsidRDefault="00BA4656" w:rsidP="006F4096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860A9F">
        <w:rPr>
          <w:rFonts w:ascii="Times New Roman" w:hAnsi="Times New Roman" w:cs="Times New Roman"/>
          <w:sz w:val="28"/>
          <w:szCs w:val="28"/>
        </w:rPr>
        <w:t>ПЛАН</w:t>
      </w:r>
    </w:p>
    <w:p w:rsidR="0051748F" w:rsidRDefault="00BA4656" w:rsidP="006F4096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</w:t>
      </w:r>
      <w:r w:rsidR="00480B72" w:rsidRPr="00860A9F">
        <w:rPr>
          <w:rFonts w:ascii="Times New Roman" w:hAnsi="Times New Roman" w:cs="Times New Roman"/>
          <w:sz w:val="28"/>
          <w:szCs w:val="28"/>
        </w:rPr>
        <w:t xml:space="preserve">ПЕРВОМ КАССАЦИОННОМ СУДЕ ОБЩЕЙ ЮРИСДИКЦИИ </w:t>
      </w:r>
      <w:proofErr w:type="gramStart"/>
      <w:r w:rsidRPr="00860A9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60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656" w:rsidRDefault="00BA4656" w:rsidP="0051748F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sz w:val="28"/>
          <w:szCs w:val="28"/>
        </w:rPr>
        <w:t>20</w:t>
      </w:r>
      <w:r w:rsidR="003C0394" w:rsidRPr="00860A9F">
        <w:rPr>
          <w:rFonts w:ascii="Times New Roman" w:hAnsi="Times New Roman" w:cs="Times New Roman"/>
          <w:sz w:val="28"/>
          <w:szCs w:val="28"/>
        </w:rPr>
        <w:t>2</w:t>
      </w:r>
      <w:r w:rsidR="0051748F">
        <w:rPr>
          <w:rFonts w:ascii="Times New Roman" w:hAnsi="Times New Roman" w:cs="Times New Roman"/>
          <w:sz w:val="28"/>
          <w:szCs w:val="28"/>
        </w:rPr>
        <w:t>5 – 2028 годы</w:t>
      </w:r>
    </w:p>
    <w:p w:rsidR="0051748F" w:rsidRPr="00860A9F" w:rsidRDefault="0051748F" w:rsidP="0051748F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21"/>
        <w:gridCol w:w="4940"/>
        <w:gridCol w:w="16"/>
        <w:gridCol w:w="3031"/>
        <w:gridCol w:w="17"/>
        <w:gridCol w:w="2322"/>
        <w:gridCol w:w="72"/>
        <w:gridCol w:w="3691"/>
      </w:tblGrid>
      <w:tr w:rsidR="0051748F" w:rsidTr="0051748F">
        <w:tc>
          <w:tcPr>
            <w:tcW w:w="1101" w:type="dxa"/>
          </w:tcPr>
          <w:p w:rsidR="0051748F" w:rsidRDefault="0051748F" w:rsidP="0027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1748F" w:rsidRDefault="0051748F" w:rsidP="0027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  <w:gridSpan w:val="2"/>
          </w:tcPr>
          <w:p w:rsidR="0051748F" w:rsidRDefault="0051748F" w:rsidP="00517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64" w:type="dxa"/>
            <w:gridSpan w:val="3"/>
          </w:tcPr>
          <w:p w:rsidR="0051748F" w:rsidRDefault="0051748F" w:rsidP="00517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322" w:type="dxa"/>
          </w:tcPr>
          <w:p w:rsidR="0051748F" w:rsidRDefault="0051748F" w:rsidP="00517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проведения мероприятия</w:t>
            </w:r>
          </w:p>
        </w:tc>
        <w:tc>
          <w:tcPr>
            <w:tcW w:w="3763" w:type="dxa"/>
            <w:gridSpan w:val="2"/>
          </w:tcPr>
          <w:p w:rsidR="0051748F" w:rsidRDefault="0051748F" w:rsidP="00272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51748F" w:rsidTr="00842D85">
        <w:tc>
          <w:tcPr>
            <w:tcW w:w="15211" w:type="dxa"/>
            <w:gridSpan w:val="9"/>
          </w:tcPr>
          <w:p w:rsidR="0051748F" w:rsidRPr="0051748F" w:rsidRDefault="0051748F" w:rsidP="0051748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48F">
              <w:rPr>
                <w:rFonts w:ascii="Times New Roman" w:hAnsi="Times New Roman" w:cs="Times New Roman"/>
                <w:b/>
                <w:sz w:val="28"/>
                <w:szCs w:val="28"/>
              </w:rPr>
              <w:t>Меры по совершенствованию нормативных правовых актов в сфере противодействия коррупции в Первом кассационном суде общей юрисдикции</w:t>
            </w:r>
          </w:p>
        </w:tc>
      </w:tr>
      <w:tr w:rsidR="0051748F" w:rsidTr="00AD45EB">
        <w:trPr>
          <w:trHeight w:val="3299"/>
        </w:trPr>
        <w:tc>
          <w:tcPr>
            <w:tcW w:w="1122" w:type="dxa"/>
            <w:gridSpan w:val="2"/>
          </w:tcPr>
          <w:p w:rsidR="0051748F" w:rsidRPr="005E0D06" w:rsidRDefault="0051748F" w:rsidP="00517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D06">
              <w:rPr>
                <w:rFonts w:ascii="Times New Roman" w:hAnsi="Times New Roman" w:cs="Times New Roman"/>
                <w:sz w:val="28"/>
                <w:szCs w:val="28"/>
              </w:rPr>
              <w:t xml:space="preserve">     1.1.</w:t>
            </w:r>
          </w:p>
        </w:tc>
        <w:tc>
          <w:tcPr>
            <w:tcW w:w="4956" w:type="dxa"/>
            <w:gridSpan w:val="2"/>
          </w:tcPr>
          <w:p w:rsidR="0051748F" w:rsidRPr="0051748F" w:rsidRDefault="0051748F" w:rsidP="00924309">
            <w:pPr>
              <w:pStyle w:val="a7"/>
              <w:ind w:left="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48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подготовку предложений проектов нормативных правовых актов Первого кассационного суда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3031" w:type="dxa"/>
          </w:tcPr>
          <w:p w:rsidR="0051748F" w:rsidRPr="0051748F" w:rsidRDefault="00522D82" w:rsidP="0051748F">
            <w:pPr>
              <w:pStyle w:val="a7"/>
              <w:ind w:left="0" w:firstLine="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1748F" w:rsidRPr="0051748F">
              <w:rPr>
                <w:rFonts w:ascii="Times New Roman" w:hAnsi="Times New Roman" w:cs="Times New Roman"/>
                <w:sz w:val="28"/>
                <w:szCs w:val="28"/>
              </w:rPr>
              <w:t>правляющий делами,</w:t>
            </w:r>
          </w:p>
          <w:p w:rsidR="0051748F" w:rsidRPr="0051748F" w:rsidRDefault="0051748F" w:rsidP="0051748F">
            <w:pPr>
              <w:pStyle w:val="a7"/>
              <w:ind w:left="0" w:firstLine="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48F" w:rsidRPr="0051748F" w:rsidRDefault="00522D82" w:rsidP="0051748F">
            <w:pPr>
              <w:pStyle w:val="a7"/>
              <w:ind w:left="0" w:firstLine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1748F" w:rsidRPr="0051748F">
              <w:rPr>
                <w:rFonts w:ascii="Times New Roman" w:hAnsi="Times New Roman" w:cs="Times New Roman"/>
                <w:sz w:val="28"/>
                <w:szCs w:val="28"/>
              </w:rPr>
              <w:t>аместитель управляющего делами</w:t>
            </w:r>
          </w:p>
        </w:tc>
        <w:tc>
          <w:tcPr>
            <w:tcW w:w="2411" w:type="dxa"/>
            <w:gridSpan w:val="3"/>
          </w:tcPr>
          <w:p w:rsidR="0051748F" w:rsidRPr="00522D82" w:rsidRDefault="00522D82" w:rsidP="00522D82">
            <w:pPr>
              <w:pStyle w:val="a7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2D82">
              <w:rPr>
                <w:rFonts w:ascii="Times New Roman" w:hAnsi="Times New Roman" w:cs="Times New Roman"/>
                <w:sz w:val="28"/>
                <w:szCs w:val="28"/>
              </w:rPr>
              <w:t>остоянно, в течение отчетного периода</w:t>
            </w:r>
          </w:p>
        </w:tc>
        <w:tc>
          <w:tcPr>
            <w:tcW w:w="3691" w:type="dxa"/>
          </w:tcPr>
          <w:p w:rsidR="00924309" w:rsidRPr="00522D82" w:rsidRDefault="00522D82" w:rsidP="00522D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D82">
              <w:rPr>
                <w:rFonts w:ascii="Times New Roman" w:hAnsi="Times New Roman" w:cs="Times New Roman"/>
                <w:sz w:val="28"/>
                <w:szCs w:val="28"/>
              </w:rPr>
              <w:t>Своевременная актуализация нормативной правовой базы Первого кассационного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AD45EB" w:rsidTr="0051748F">
        <w:trPr>
          <w:trHeight w:val="887"/>
        </w:trPr>
        <w:tc>
          <w:tcPr>
            <w:tcW w:w="1122" w:type="dxa"/>
            <w:gridSpan w:val="2"/>
          </w:tcPr>
          <w:p w:rsidR="00AD45EB" w:rsidRPr="005E0D06" w:rsidRDefault="00AD45EB" w:rsidP="00AD4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956" w:type="dxa"/>
            <w:gridSpan w:val="2"/>
          </w:tcPr>
          <w:p w:rsidR="00AD45EB" w:rsidRPr="00AD45EB" w:rsidRDefault="00C56A20" w:rsidP="00AD4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проведение</w:t>
            </w:r>
            <w:r w:rsidR="00AD45EB" w:rsidRPr="00AD45EB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антикоррупционной экспертизы </w:t>
            </w:r>
            <w:r w:rsidR="00DD18A7">
              <w:rPr>
                <w:rFonts w:ascii="Times New Roman" w:hAnsi="Times New Roman" w:cs="Times New Roman"/>
                <w:sz w:val="28"/>
                <w:szCs w:val="28"/>
              </w:rPr>
              <w:t xml:space="preserve">локальных </w:t>
            </w:r>
            <w:r w:rsidR="00AD45EB" w:rsidRPr="00AD45E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нормативных актов и </w:t>
            </w:r>
            <w:r w:rsidR="00AD45EB" w:rsidRPr="00AD4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проектов </w:t>
            </w:r>
            <w:r w:rsidR="00DD18A7">
              <w:rPr>
                <w:rFonts w:ascii="Times New Roman" w:hAnsi="Times New Roman" w:cs="Times New Roman"/>
                <w:sz w:val="28"/>
                <w:szCs w:val="28"/>
              </w:rPr>
              <w:t xml:space="preserve">локальных </w:t>
            </w:r>
            <w:r w:rsidR="00AD45EB" w:rsidRPr="00AD45EB">
              <w:rPr>
                <w:rFonts w:ascii="Times New Roman" w:hAnsi="Times New Roman" w:cs="Times New Roman"/>
                <w:sz w:val="28"/>
                <w:szCs w:val="28"/>
              </w:rPr>
              <w:t>нормативных актов Первого кассационного суда общей юрисдикции</w:t>
            </w:r>
          </w:p>
          <w:p w:rsidR="00AD45EB" w:rsidRPr="00AD45EB" w:rsidRDefault="00AD45EB" w:rsidP="00924309">
            <w:pPr>
              <w:pStyle w:val="a7"/>
              <w:ind w:left="0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AD45EB" w:rsidRPr="00AD45EB" w:rsidRDefault="00AD45EB" w:rsidP="00AD45EB">
            <w:pPr>
              <w:pStyle w:val="a7"/>
              <w:ind w:left="0"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AD4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управляющий делами,</w:t>
            </w:r>
          </w:p>
          <w:p w:rsidR="00AD45EB" w:rsidRPr="00AD45EB" w:rsidRDefault="00AD45EB" w:rsidP="00AD45EB">
            <w:pPr>
              <w:pStyle w:val="a7"/>
              <w:ind w:left="0" w:firstLine="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5EB" w:rsidRDefault="00AD45EB" w:rsidP="00AD45EB">
            <w:pPr>
              <w:pStyle w:val="a7"/>
              <w:ind w:left="0"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AD45E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AD4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управляющего делами</w:t>
            </w:r>
          </w:p>
        </w:tc>
        <w:tc>
          <w:tcPr>
            <w:tcW w:w="2411" w:type="dxa"/>
            <w:gridSpan w:val="3"/>
          </w:tcPr>
          <w:p w:rsidR="00AD45EB" w:rsidRPr="00AD45EB" w:rsidRDefault="00AD45EB" w:rsidP="00522D82">
            <w:pPr>
              <w:pStyle w:val="a7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AD4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постоянно, в течение отчетного </w:t>
            </w:r>
            <w:r w:rsidRPr="00AD4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3691" w:type="dxa"/>
          </w:tcPr>
          <w:p w:rsidR="00AD45EB" w:rsidRPr="00AD45EB" w:rsidRDefault="00AD45EB" w:rsidP="00AD45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 возможных </w:t>
            </w:r>
            <w:proofErr w:type="spellStart"/>
            <w:r w:rsidRPr="00AD45EB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AD45EB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и своевременное их </w:t>
            </w:r>
            <w:r w:rsidRPr="00AD4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устранение в </w:t>
            </w:r>
            <w:r w:rsidR="00DD18A7">
              <w:rPr>
                <w:rFonts w:ascii="Times New Roman" w:hAnsi="Times New Roman" w:cs="Times New Roman"/>
                <w:sz w:val="28"/>
                <w:szCs w:val="28"/>
              </w:rPr>
              <w:t xml:space="preserve">локальных </w:t>
            </w:r>
            <w:r w:rsidRPr="00AD45EB">
              <w:rPr>
                <w:rFonts w:ascii="Times New Roman" w:hAnsi="Times New Roman" w:cs="Times New Roman"/>
                <w:sz w:val="28"/>
                <w:szCs w:val="28"/>
              </w:rPr>
              <w:t>нормативных актах Первого кассационного суда общей юрисдикции</w:t>
            </w:r>
          </w:p>
          <w:p w:rsidR="00AD45EB" w:rsidRDefault="00AD45EB" w:rsidP="00522D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5EB" w:rsidRPr="00522D82" w:rsidRDefault="00AD45EB" w:rsidP="00522D8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5"/>
        <w:gridCol w:w="6888"/>
        <w:gridCol w:w="2214"/>
        <w:gridCol w:w="2181"/>
        <w:gridCol w:w="3360"/>
      </w:tblGrid>
      <w:tr w:rsidR="00842D85" w:rsidRPr="00842D85" w:rsidTr="00CF7E6A">
        <w:tc>
          <w:tcPr>
            <w:tcW w:w="15388" w:type="dxa"/>
            <w:gridSpan w:val="5"/>
          </w:tcPr>
          <w:p w:rsidR="00842D85" w:rsidRPr="00842D85" w:rsidRDefault="00842D85" w:rsidP="0092430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842D8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 Обеспечение соблюдения федеральными государственными гражданскими служащими </w:t>
            </w:r>
            <w:r w:rsidR="0092430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Первого кассационного суда общей юрисдикции</w:t>
            </w:r>
            <w:r w:rsidRPr="00842D8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5E0D06" w:rsidRDefault="005E0D06" w:rsidP="00842D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E0D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88" w:type="dxa"/>
          </w:tcPr>
          <w:p w:rsidR="00842D85" w:rsidRPr="00842D85" w:rsidRDefault="00842D85" w:rsidP="009243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484D16">
              <w:rPr>
                <w:rFonts w:ascii="Times New Roman" w:hAnsi="Times New Roman" w:cs="Times New Roman"/>
                <w:sz w:val="28"/>
                <w:szCs w:val="28"/>
              </w:rPr>
              <w:t xml:space="preserve">Первом кассационном суде </w:t>
            </w:r>
          </w:p>
        </w:tc>
        <w:tc>
          <w:tcPr>
            <w:tcW w:w="2214" w:type="dxa"/>
          </w:tcPr>
          <w:p w:rsidR="00842D85" w:rsidRPr="00842D85" w:rsidRDefault="00484D16" w:rsidP="00842D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государственной службы и кадров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постоянно,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При обнаружении проблемных вопросов, возникших в процессе профессиональной деятельности, и в целях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  <w:p w:rsidR="00924309" w:rsidRDefault="00924309" w:rsidP="00842D8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309" w:rsidRPr="00842D85" w:rsidRDefault="00924309" w:rsidP="00842D8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6888" w:type="dxa"/>
          </w:tcPr>
          <w:p w:rsidR="00842D85" w:rsidRPr="00842D85" w:rsidRDefault="0074297F" w:rsidP="00742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Комиссии по соблюдению требований к служебному поведению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Первого кассационного суда общей юрисдикции, Саратовского областного суда, Двенадцатого арбитражного апелляционного суда, Арбитражного суда Саратовской области, районных (городских), гарнизонного военного судов Саратовской области, Управления Судебного департамента в Саратовской области и урегулированию конфликта интересов</w:t>
            </w:r>
          </w:p>
        </w:tc>
        <w:tc>
          <w:tcPr>
            <w:tcW w:w="2214" w:type="dxa"/>
          </w:tcPr>
          <w:p w:rsidR="0074297F" w:rsidRDefault="0074297F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делами, </w:t>
            </w:r>
          </w:p>
          <w:p w:rsidR="0074297F" w:rsidRDefault="0074297F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EA" w:rsidRDefault="0074297F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управляющего делами, </w:t>
            </w:r>
          </w:p>
          <w:p w:rsidR="00DB37EA" w:rsidRDefault="00DB37EA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74297F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Комиссии, назначенные от Первого кассационного суда общей юрисдикции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постоянно,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360" w:type="dxa"/>
          </w:tcPr>
          <w:p w:rsidR="00842D85" w:rsidRPr="00842D85" w:rsidRDefault="00842D85" w:rsidP="009243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федеральными государственными гражданскими служащими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</w:t>
            </w:r>
            <w:r w:rsidR="0074297F">
              <w:rPr>
                <w:rFonts w:ascii="Times New Roman" w:hAnsi="Times New Roman" w:cs="Times New Roman"/>
                <w:sz w:val="28"/>
                <w:szCs w:val="28"/>
              </w:rPr>
              <w:t>Первом кассационном суде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888" w:type="dxa"/>
          </w:tcPr>
          <w:p w:rsidR="00842D85" w:rsidRPr="00842D85" w:rsidRDefault="00842D85" w:rsidP="00742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федеральными государственными гражданскими служащими </w:t>
            </w:r>
            <w:r w:rsidR="0074297F">
              <w:rPr>
                <w:rFonts w:ascii="Times New Roman" w:hAnsi="Times New Roman" w:cs="Times New Roman"/>
                <w:sz w:val="28"/>
                <w:szCs w:val="28"/>
              </w:rPr>
              <w:t>Первого кассационного суда общей юрисдикции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ним каких-либо лиц в целях склонения их к совершению коррупционных правонарушений</w:t>
            </w:r>
          </w:p>
        </w:tc>
        <w:tc>
          <w:tcPr>
            <w:tcW w:w="2214" w:type="dxa"/>
          </w:tcPr>
          <w:p w:rsidR="0074297F" w:rsidRDefault="0074297F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управляющий делами, </w:t>
            </w:r>
          </w:p>
          <w:p w:rsidR="0074297F" w:rsidRDefault="0074297F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74297F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постоянно,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6888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14" w:type="dxa"/>
          </w:tcPr>
          <w:p w:rsidR="0074297F" w:rsidRDefault="0074297F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делами, </w:t>
            </w:r>
          </w:p>
          <w:p w:rsidR="0074297F" w:rsidRDefault="0074297F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74297F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постоянно,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888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14" w:type="dxa"/>
          </w:tcPr>
          <w:p w:rsidR="0074297F" w:rsidRDefault="0074297F" w:rsidP="00742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делами, </w:t>
            </w:r>
          </w:p>
          <w:p w:rsidR="0074297F" w:rsidRDefault="0074297F" w:rsidP="00742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74297F" w:rsidP="00742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360" w:type="dxa"/>
          </w:tcPr>
          <w:p w:rsid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:rsidR="0074297F" w:rsidRPr="00842D85" w:rsidRDefault="0074297F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6888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</w:t>
            </w: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некоммерческими организациями</w:t>
            </w:r>
          </w:p>
        </w:tc>
        <w:tc>
          <w:tcPr>
            <w:tcW w:w="2214" w:type="dxa"/>
          </w:tcPr>
          <w:p w:rsidR="0074297F" w:rsidRDefault="0074297F" w:rsidP="00742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делами, </w:t>
            </w:r>
          </w:p>
          <w:p w:rsidR="0074297F" w:rsidRDefault="0074297F" w:rsidP="00742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74297F" w:rsidP="00742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888" w:type="dxa"/>
          </w:tcPr>
          <w:p w:rsidR="00842D85" w:rsidRPr="00842D85" w:rsidRDefault="00842D85" w:rsidP="00DB3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исполнением </w:t>
            </w:r>
            <w:hyperlink r:id="rId7">
              <w:r w:rsidRPr="00842D85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5 октября 2020 г. </w:t>
            </w:r>
            <w:r w:rsidR="00DB37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1602 "Положение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этой организации"</w:t>
            </w:r>
          </w:p>
        </w:tc>
        <w:tc>
          <w:tcPr>
            <w:tcW w:w="2214" w:type="dxa"/>
          </w:tcPr>
          <w:p w:rsidR="0074297F" w:rsidRDefault="0074297F" w:rsidP="00742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делами, </w:t>
            </w:r>
          </w:p>
          <w:p w:rsidR="0074297F" w:rsidRDefault="0074297F" w:rsidP="00742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74297F" w:rsidP="007429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6888" w:type="dxa"/>
          </w:tcPr>
          <w:p w:rsidR="00842D85" w:rsidRPr="00842D85" w:rsidRDefault="00842D85" w:rsidP="009243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hyperlink r:id="rId8">
              <w:r w:rsidRPr="00842D85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5 марта 2018 г. </w:t>
            </w:r>
            <w:r w:rsidR="009243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228 "О реестре лиц, уволенных в связи с утратой доверия"</w:t>
            </w:r>
          </w:p>
        </w:tc>
        <w:tc>
          <w:tcPr>
            <w:tcW w:w="2214" w:type="dxa"/>
          </w:tcPr>
          <w:p w:rsidR="00924309" w:rsidRDefault="00924309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делами,</w:t>
            </w:r>
          </w:p>
          <w:p w:rsidR="00924309" w:rsidRDefault="00924309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309" w:rsidRDefault="00924309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  <w:p w:rsidR="00924309" w:rsidRDefault="00924309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74297F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государственной службы и кадров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6888" w:type="dxa"/>
          </w:tcPr>
          <w:p w:rsidR="00842D85" w:rsidRPr="00842D85" w:rsidRDefault="00842D85" w:rsidP="003A56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Сбор сведений об адресах сайтов и (или) страниц сайтов в информационно-телекоммуникационной сети "Интернет", на которых гражданами, претендующими на замещение должностей федеральной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гражданской службы в </w:t>
            </w:r>
            <w:r w:rsidR="003A566A">
              <w:rPr>
                <w:rFonts w:ascii="Times New Roman" w:hAnsi="Times New Roman" w:cs="Times New Roman"/>
                <w:sz w:val="28"/>
                <w:szCs w:val="28"/>
              </w:rPr>
              <w:t>Первом кассационном суде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14" w:type="dxa"/>
          </w:tcPr>
          <w:p w:rsidR="003A566A" w:rsidRDefault="003A566A" w:rsidP="003A56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государственной службы и кадров</w:t>
            </w:r>
          </w:p>
          <w:p w:rsidR="003A566A" w:rsidRDefault="003A566A" w:rsidP="003A56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66A" w:rsidRPr="00842D85" w:rsidRDefault="003A566A" w:rsidP="003A56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отношении граждан, претендующих на замещение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должностей - по мере необходимости;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отношении государственных служащих - ежегодно до 1 апреля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 случаев несоблюдения требований законодательства о государственной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</w:t>
            </w:r>
          </w:p>
        </w:tc>
        <w:tc>
          <w:tcPr>
            <w:tcW w:w="6888" w:type="dxa"/>
          </w:tcPr>
          <w:p w:rsidR="00842D85" w:rsidRPr="00842D85" w:rsidRDefault="00842D85" w:rsidP="003A56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Сбор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3A566A">
              <w:rPr>
                <w:rFonts w:ascii="Times New Roman" w:hAnsi="Times New Roman" w:cs="Times New Roman"/>
                <w:sz w:val="28"/>
                <w:szCs w:val="28"/>
              </w:rPr>
              <w:t>Первого кассационного суда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214" w:type="dxa"/>
          </w:tcPr>
          <w:p w:rsidR="003A566A" w:rsidRDefault="003A566A" w:rsidP="003A56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делами, </w:t>
            </w:r>
          </w:p>
          <w:p w:rsidR="003A566A" w:rsidRDefault="003A566A" w:rsidP="003A56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3A566A" w:rsidP="003A56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до 30 апреля включительно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признаков нарушения норм законодательства Российской Федерации</w:t>
            </w:r>
            <w:proofErr w:type="gramEnd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6888" w:type="dxa"/>
          </w:tcPr>
          <w:p w:rsidR="00842D85" w:rsidRPr="00842D85" w:rsidRDefault="00842D85" w:rsidP="003A56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в соответствии с требованиями </w:t>
            </w:r>
            <w:hyperlink r:id="rId9">
              <w:r w:rsidRPr="00842D85">
                <w:rPr>
                  <w:rFonts w:ascii="Times New Roman" w:hAnsi="Times New Roman" w:cs="Times New Roman"/>
                  <w:sz w:val="28"/>
                  <w:szCs w:val="28"/>
                </w:rPr>
                <w:t>Указа</w:t>
              </w:r>
            </w:hyperlink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8 июля 2013 г. </w:t>
            </w:r>
            <w:r w:rsidR="003A56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613 "Вопросы противодействия коррупции" на официальном сайте </w:t>
            </w:r>
            <w:r w:rsidR="003A566A">
              <w:rPr>
                <w:rFonts w:ascii="Times New Roman" w:hAnsi="Times New Roman" w:cs="Times New Roman"/>
                <w:sz w:val="28"/>
                <w:szCs w:val="28"/>
              </w:rPr>
              <w:t>Первого кассационного суда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служащих, а также их супруг (супругов) и несовершеннолетних детей за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отчетные периоды</w:t>
            </w:r>
            <w:proofErr w:type="gramEnd"/>
          </w:p>
        </w:tc>
        <w:tc>
          <w:tcPr>
            <w:tcW w:w="2214" w:type="dxa"/>
          </w:tcPr>
          <w:p w:rsidR="003A566A" w:rsidRDefault="003A566A" w:rsidP="003A56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управляющий делами, </w:t>
            </w:r>
          </w:p>
          <w:p w:rsidR="003A566A" w:rsidRDefault="003A566A" w:rsidP="003A56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3A566A" w:rsidP="003A56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 w:rsidR="005E0D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CF7E6A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анализ 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E84B91">
              <w:rPr>
                <w:rFonts w:ascii="Times New Roman" w:hAnsi="Times New Roman" w:cs="Times New Roman"/>
                <w:sz w:val="28"/>
                <w:szCs w:val="28"/>
              </w:rPr>
              <w:t>Первого кассационного суда</w:t>
            </w:r>
          </w:p>
        </w:tc>
        <w:tc>
          <w:tcPr>
            <w:tcW w:w="2214" w:type="dxa"/>
          </w:tcPr>
          <w:p w:rsidR="00E84B91" w:rsidRDefault="00E84B91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делами, </w:t>
            </w:r>
          </w:p>
          <w:p w:rsidR="00E84B91" w:rsidRDefault="00E84B91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Default="00E84B91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  <w:p w:rsidR="00E84B91" w:rsidRDefault="00E84B91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B91" w:rsidRPr="00842D85" w:rsidRDefault="00E84B91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государственной службы и кадров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периода,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5E0D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федеральных государственных гражданских служащих </w:t>
            </w:r>
            <w:r w:rsidR="00E84B91">
              <w:rPr>
                <w:rFonts w:ascii="Times New Roman" w:hAnsi="Times New Roman" w:cs="Times New Roman"/>
                <w:sz w:val="28"/>
                <w:szCs w:val="28"/>
              </w:rPr>
              <w:t>Первого кассационного суда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214" w:type="dxa"/>
          </w:tcPr>
          <w:p w:rsidR="00E84B91" w:rsidRDefault="00E84B91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делами, </w:t>
            </w:r>
          </w:p>
          <w:p w:rsidR="00E84B91" w:rsidRDefault="00E84B91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E84B91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периода,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5E0D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214" w:type="dxa"/>
          </w:tcPr>
          <w:p w:rsidR="00E84B91" w:rsidRDefault="00E84B91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делами, </w:t>
            </w:r>
          </w:p>
          <w:p w:rsidR="00E84B91" w:rsidRDefault="00E84B91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E84B91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5E0D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федеральными государственными гражданскими служащими запрета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занятие предпринимательской деятельностью лично или через доверенных лиц</w:t>
            </w:r>
          </w:p>
        </w:tc>
        <w:tc>
          <w:tcPr>
            <w:tcW w:w="2214" w:type="dxa"/>
          </w:tcPr>
          <w:p w:rsidR="00E84B91" w:rsidRDefault="00E84B91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управляющий делами, </w:t>
            </w:r>
          </w:p>
          <w:p w:rsidR="00E84B91" w:rsidRDefault="00E84B91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E84B91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несоблюдения запретов, ограничений и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требований, установленных антикоррупционным законодательством Российской Федерации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 w:rsidR="005E0D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сведений об адресах сайтов и (или) страниц сайтов в информационно-телекоммуникационной сети "Интернет", на которых гражданами, претендующими на замещение должностей федеральной государственной гражданской службы в </w:t>
            </w:r>
            <w:r w:rsidR="00E84B91">
              <w:rPr>
                <w:rFonts w:ascii="Times New Roman" w:hAnsi="Times New Roman" w:cs="Times New Roman"/>
                <w:sz w:val="28"/>
                <w:szCs w:val="28"/>
              </w:rPr>
              <w:t>Первом кассационном суде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14" w:type="dxa"/>
          </w:tcPr>
          <w:p w:rsidR="00842D85" w:rsidRPr="00842D85" w:rsidRDefault="00E84B91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государственной службы и кадров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периода,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E0D0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14" w:type="dxa"/>
          </w:tcPr>
          <w:p w:rsidR="00842D85" w:rsidRPr="00842D85" w:rsidRDefault="00E84B91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государственной службы и кадров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360" w:type="dxa"/>
          </w:tcPr>
          <w:p w:rsidR="00842D85" w:rsidRPr="00842D85" w:rsidRDefault="00842D85" w:rsidP="009243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анкет в соответствии с </w:t>
            </w:r>
            <w:hyperlink r:id="rId10">
              <w:r w:rsidRPr="00842D85">
                <w:rPr>
                  <w:rFonts w:ascii="Times New Roman" w:hAnsi="Times New Roman" w:cs="Times New Roman"/>
                  <w:sz w:val="28"/>
                  <w:szCs w:val="28"/>
                </w:rPr>
                <w:t>Указом</w:t>
              </w:r>
            </w:hyperlink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10.10.2024 </w:t>
            </w:r>
            <w:r w:rsidR="009243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870 (утверждена новая форма анкеты государственных гражданских служащих)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E0D0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Ведение Реестра (списка) уволенных федеральных государственных гражданских служащих </w:t>
            </w:r>
            <w:r w:rsidR="00E84B91">
              <w:rPr>
                <w:rFonts w:ascii="Times New Roman" w:hAnsi="Times New Roman" w:cs="Times New Roman"/>
                <w:sz w:val="28"/>
                <w:szCs w:val="28"/>
              </w:rPr>
              <w:t xml:space="preserve">Первого </w:t>
            </w:r>
            <w:r w:rsidR="00E84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кассационного суда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E84B91">
              <w:rPr>
                <w:rFonts w:ascii="Times New Roman" w:hAnsi="Times New Roman" w:cs="Times New Roman"/>
                <w:sz w:val="28"/>
                <w:szCs w:val="28"/>
              </w:rPr>
              <w:t>Первом кассационном суде</w:t>
            </w:r>
          </w:p>
        </w:tc>
        <w:tc>
          <w:tcPr>
            <w:tcW w:w="2214" w:type="dxa"/>
          </w:tcPr>
          <w:p w:rsidR="00842D85" w:rsidRDefault="00E84B91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управляющий делами,</w:t>
            </w:r>
          </w:p>
          <w:p w:rsidR="00E84B91" w:rsidRDefault="00E84B91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B91" w:rsidRPr="00842D85" w:rsidRDefault="00E84B91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отчетного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периода,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360" w:type="dxa"/>
          </w:tcPr>
          <w:p w:rsid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 случаев несоблюдения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  <w:p w:rsidR="00924309" w:rsidRPr="00842D85" w:rsidRDefault="00924309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5E0D0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E84B91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Управление противодействия коррупции Судебного департамента при Верховном Суде Российской Федерации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Первом кассационном суде</w:t>
            </w:r>
            <w:proofErr w:type="gramEnd"/>
          </w:p>
        </w:tc>
        <w:tc>
          <w:tcPr>
            <w:tcW w:w="2214" w:type="dxa"/>
          </w:tcPr>
          <w:p w:rsidR="00842D85" w:rsidRDefault="00E84B91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делами, заместитель управляющего делами,</w:t>
            </w:r>
          </w:p>
          <w:p w:rsidR="00E84B91" w:rsidRPr="00842D85" w:rsidRDefault="00E84B91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E84B91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суда</w:t>
            </w:r>
          </w:p>
        </w:tc>
        <w:tc>
          <w:tcPr>
            <w:tcW w:w="2181" w:type="dxa"/>
          </w:tcPr>
          <w:p w:rsidR="00842D85" w:rsidRPr="00842D85" w:rsidRDefault="00842D85" w:rsidP="00E84B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</w:t>
            </w:r>
            <w:r w:rsidR="00E84B91">
              <w:rPr>
                <w:rFonts w:ascii="Times New Roman" w:hAnsi="Times New Roman" w:cs="Times New Roman"/>
                <w:sz w:val="28"/>
                <w:szCs w:val="28"/>
              </w:rPr>
              <w:t>Судебным департаментом при Верховном Суде Российской Федерации</w:t>
            </w:r>
          </w:p>
        </w:tc>
        <w:tc>
          <w:tcPr>
            <w:tcW w:w="3360" w:type="dxa"/>
          </w:tcPr>
          <w:p w:rsidR="00842D85" w:rsidRPr="00842D85" w:rsidRDefault="00842D85" w:rsidP="00CE41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и обобщения полученных сведений о ходе реализации мер по противодействию коррупции в </w:t>
            </w:r>
            <w:r w:rsidR="00CE4176">
              <w:rPr>
                <w:rFonts w:ascii="Times New Roman" w:hAnsi="Times New Roman" w:cs="Times New Roman"/>
                <w:sz w:val="28"/>
                <w:szCs w:val="28"/>
              </w:rPr>
              <w:t>Первом кассационном суде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представление, направление информации в установленные сроки в </w:t>
            </w:r>
            <w:r w:rsidR="00CE4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противодействия коррупции Судебного департамента при Верховном Суде Российской Федерации</w:t>
            </w:r>
          </w:p>
        </w:tc>
      </w:tr>
      <w:tr w:rsidR="00842D85" w:rsidRPr="00842D85" w:rsidTr="00CF7E6A">
        <w:tc>
          <w:tcPr>
            <w:tcW w:w="15388" w:type="dxa"/>
            <w:gridSpan w:val="5"/>
          </w:tcPr>
          <w:p w:rsidR="00842D85" w:rsidRPr="00842D85" w:rsidRDefault="00842D85" w:rsidP="00DB3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C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E0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</w:t>
            </w:r>
            <w:r w:rsidR="00DB37EA" w:rsidRPr="005E0D06">
              <w:rPr>
                <w:rFonts w:ascii="Times New Roman" w:hAnsi="Times New Roman" w:cs="Times New Roman"/>
                <w:b/>
                <w:sz w:val="28"/>
                <w:szCs w:val="28"/>
              </w:rPr>
              <w:t>Первом кассационном суде общей юрисдикции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E0D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CE4176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меры, направленные на недопущение фактов нецелевого использования средств федерального бюджета Первым кассационным судом</w:t>
            </w:r>
          </w:p>
        </w:tc>
        <w:tc>
          <w:tcPr>
            <w:tcW w:w="2214" w:type="dxa"/>
          </w:tcPr>
          <w:p w:rsidR="00842D85" w:rsidRDefault="00CE4176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Финансово-бухгалтерский отдел,</w:t>
            </w:r>
          </w:p>
          <w:p w:rsidR="00CE4176" w:rsidRDefault="00CE4176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176" w:rsidRDefault="00DB37EA" w:rsidP="00CE41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4176">
              <w:rPr>
                <w:rFonts w:ascii="Times New Roman" w:hAnsi="Times New Roman" w:cs="Times New Roman"/>
                <w:sz w:val="28"/>
                <w:szCs w:val="28"/>
              </w:rPr>
              <w:t>тдел эксплуатации зданий и материально-технического обеспечения</w:t>
            </w:r>
          </w:p>
          <w:p w:rsidR="001A1C71" w:rsidRPr="00842D85" w:rsidRDefault="001A1C71" w:rsidP="00CE41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360" w:type="dxa"/>
          </w:tcPr>
          <w:p w:rsidR="00CE4176" w:rsidRDefault="00672604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4176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proofErr w:type="gramStart"/>
            <w:r w:rsidR="00CE417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CE4176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и сохранностью государственного имущества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E0D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CE41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осуществление закупок товаров, работ и услуг для обеспечения государственных нужд в </w:t>
            </w:r>
            <w:r w:rsidR="00CE4176">
              <w:rPr>
                <w:rFonts w:ascii="Times New Roman" w:hAnsi="Times New Roman" w:cs="Times New Roman"/>
                <w:sz w:val="28"/>
                <w:szCs w:val="28"/>
              </w:rPr>
              <w:t>Первом кассационном суде,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требованиями Федерального </w:t>
            </w:r>
            <w:hyperlink r:id="rId11">
              <w:r w:rsidRPr="00842D85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от 5 апреля 2013 г. </w:t>
            </w:r>
            <w:r w:rsidR="00CE41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нужд", Федерального </w:t>
            </w:r>
            <w:hyperlink r:id="rId12">
              <w:r w:rsidRPr="00842D85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1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273-ФЗ, иных нормативных правовых актов, содержащих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требования, направленные на предотвращение коррупционных правонарушений</w:t>
            </w:r>
            <w:proofErr w:type="gramEnd"/>
          </w:p>
        </w:tc>
        <w:tc>
          <w:tcPr>
            <w:tcW w:w="2214" w:type="dxa"/>
          </w:tcPr>
          <w:p w:rsidR="00672604" w:rsidRDefault="00672604" w:rsidP="006726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Финансово-бухгалтерский отдел,</w:t>
            </w:r>
          </w:p>
          <w:p w:rsidR="00672604" w:rsidRDefault="00672604" w:rsidP="006726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A803A9" w:rsidP="0067260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Единая комиссия по осуществлению закупок товаров,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работ, услуг для нужд Первого кассационного суда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постоянно,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повышение уровня конкуренции, честности и прозрачности при осуществлении закупок.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Предотвращение фактов нарушения норм Федерального </w:t>
            </w:r>
            <w:hyperlink r:id="rId13">
              <w:r w:rsidRPr="00842D85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от 5 апреля 2013 г. </w:t>
            </w:r>
            <w:r w:rsidR="006726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44-ФЗ "О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нужд" в ходе формирования закупочной документации, при заключении и сопровождении контракта, способствующих предоставлению необоснованных преференций контрагентам.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Ограничение возможности должностным лицам получать какие-либо личные выгоды от проведения закупки. Исключение приемки товаров (работ, услуг) низкого качества либо несоответствующих условиям контракта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5E0D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нужд</w:t>
            </w:r>
          </w:p>
        </w:tc>
        <w:tc>
          <w:tcPr>
            <w:tcW w:w="2214" w:type="dxa"/>
          </w:tcPr>
          <w:p w:rsidR="00842D85" w:rsidRPr="00842D85" w:rsidRDefault="00672604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контрактная служба в сфере закупок</w:t>
            </w:r>
            <w:r w:rsidR="001A1C71">
              <w:rPr>
                <w:rFonts w:ascii="Times New Roman" w:hAnsi="Times New Roman" w:cs="Times New Roman"/>
                <w:sz w:val="28"/>
                <w:szCs w:val="28"/>
              </w:rPr>
              <w:t xml:space="preserve"> товаров, работ, услуг для </w:t>
            </w:r>
            <w:r w:rsidR="001A1C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государственных нужд Первого кассационного суда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требований законодательства при планировании и осуществлении закупок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(включение в план-график обоснованных объектов закупок; 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закупок).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Повышение уровня конкуренции и прозрачности при осуществлении закупок.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финансового менеджмента.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Снижение коррупционных рисков при осуществлении закупок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5E0D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1A1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мероприятий, направленных на выявление личной заинтересованности федеральных государственных гражданских служащих </w:t>
            </w:r>
            <w:r w:rsidR="001A1C71">
              <w:rPr>
                <w:rFonts w:ascii="Times New Roman" w:hAnsi="Times New Roman" w:cs="Times New Roman"/>
                <w:sz w:val="28"/>
                <w:szCs w:val="28"/>
              </w:rPr>
              <w:t>Первого кассационного суда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которая</w:t>
            </w:r>
            <w:proofErr w:type="gramEnd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2214" w:type="dxa"/>
          </w:tcPr>
          <w:p w:rsidR="001A1C71" w:rsidRDefault="001A1C71" w:rsidP="001A1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делами,</w:t>
            </w:r>
          </w:p>
          <w:p w:rsidR="001A1C71" w:rsidRDefault="001A1C71" w:rsidP="001A1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C71" w:rsidRDefault="001A1C71" w:rsidP="001A1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делами,</w:t>
            </w:r>
          </w:p>
          <w:p w:rsidR="001A1C71" w:rsidRDefault="001A1C71" w:rsidP="001A1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C71" w:rsidRDefault="001A1C71" w:rsidP="001A1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Финансово-бухгалтерский отдел,</w:t>
            </w:r>
          </w:p>
          <w:p w:rsidR="001A1C71" w:rsidRDefault="001A1C71" w:rsidP="001A1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1A1C71" w:rsidP="001A1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эксплуатации зданий и материально-технического обеспечения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E0D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1A1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внутреннего финансового </w:t>
            </w: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средств федерального бюджета </w:t>
            </w:r>
            <w:r w:rsidR="001A1C71">
              <w:rPr>
                <w:rFonts w:ascii="Times New Roman" w:hAnsi="Times New Roman" w:cs="Times New Roman"/>
                <w:sz w:val="28"/>
                <w:szCs w:val="28"/>
              </w:rPr>
              <w:t>Первым кассационным судом</w:t>
            </w:r>
          </w:p>
        </w:tc>
        <w:tc>
          <w:tcPr>
            <w:tcW w:w="2214" w:type="dxa"/>
          </w:tcPr>
          <w:p w:rsidR="001A1C71" w:rsidRDefault="001A1C71" w:rsidP="001A1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делами,</w:t>
            </w:r>
          </w:p>
          <w:p w:rsidR="001A1C71" w:rsidRDefault="001A1C71" w:rsidP="001A1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C71" w:rsidRDefault="001A1C71" w:rsidP="001A1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Финансово-бухгалтерский отдел,</w:t>
            </w:r>
          </w:p>
          <w:p w:rsidR="001A1C71" w:rsidRDefault="001A1C71" w:rsidP="001A1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1A1C71" w:rsidP="001A1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эксплуатации зданий и материально-технического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0F4C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0F4C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C3B">
              <w:rPr>
                <w:rFonts w:ascii="Times New Roman" w:hAnsi="Times New Roman" w:cs="Times New Roman"/>
                <w:sz w:val="28"/>
                <w:szCs w:val="28"/>
              </w:rPr>
              <w:t>Осуществление внутреннего финансового аудита</w:t>
            </w:r>
          </w:p>
        </w:tc>
        <w:tc>
          <w:tcPr>
            <w:tcW w:w="2214" w:type="dxa"/>
          </w:tcPr>
          <w:p w:rsidR="00842D85" w:rsidRPr="00842D85" w:rsidRDefault="00851C3B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Финансово-бухгалтерский отдел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повышение надежности внутреннего финансового контроля.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</w:t>
            </w:r>
            <w:hyperlink r:id="rId14">
              <w:r w:rsidRPr="00842D85">
                <w:rPr>
                  <w:rFonts w:ascii="Times New Roman" w:hAnsi="Times New Roman" w:cs="Times New Roman"/>
                  <w:sz w:val="28"/>
                  <w:szCs w:val="28"/>
                </w:rPr>
                <w:t>пунктом 5 статьи 264.1</w:t>
              </w:r>
            </w:hyperlink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Федерации.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финансового менеджмента</w:t>
            </w:r>
          </w:p>
        </w:tc>
      </w:tr>
      <w:tr w:rsidR="00842D85" w:rsidRPr="00842D85" w:rsidTr="00CF7E6A">
        <w:tc>
          <w:tcPr>
            <w:tcW w:w="15388" w:type="dxa"/>
            <w:gridSpan w:val="5"/>
          </w:tcPr>
          <w:p w:rsidR="00842D85" w:rsidRPr="005E0D06" w:rsidRDefault="00842D85" w:rsidP="00A803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Выявление и систематизация причин и условий проявления коррупции в деятельности </w:t>
            </w:r>
            <w:r w:rsidR="00A803A9" w:rsidRPr="005E0D06">
              <w:rPr>
                <w:rFonts w:ascii="Times New Roman" w:hAnsi="Times New Roman" w:cs="Times New Roman"/>
                <w:b/>
                <w:sz w:val="28"/>
                <w:szCs w:val="28"/>
              </w:rPr>
              <w:t>Первого кассационного суда общей юрисдикции</w:t>
            </w:r>
            <w:r w:rsidRPr="005E0D06">
              <w:rPr>
                <w:rFonts w:ascii="Times New Roman" w:hAnsi="Times New Roman" w:cs="Times New Roman"/>
                <w:b/>
                <w:sz w:val="28"/>
                <w:szCs w:val="28"/>
              </w:rPr>
              <w:t>, мониторинг коррупционных рисков и их устранение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888" w:type="dxa"/>
          </w:tcPr>
          <w:p w:rsidR="00842D85" w:rsidRPr="00842D85" w:rsidRDefault="00842D85" w:rsidP="00A803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коррупционных рисков, возникающих при реализации </w:t>
            </w:r>
            <w:r w:rsidR="00A803A9">
              <w:rPr>
                <w:rFonts w:ascii="Times New Roman" w:hAnsi="Times New Roman" w:cs="Times New Roman"/>
                <w:sz w:val="28"/>
                <w:szCs w:val="28"/>
              </w:rPr>
              <w:t>Первым кассационным судом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своих функций</w:t>
            </w:r>
          </w:p>
        </w:tc>
        <w:tc>
          <w:tcPr>
            <w:tcW w:w="2214" w:type="dxa"/>
          </w:tcPr>
          <w:p w:rsidR="00A803A9" w:rsidRDefault="00A803A9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делами, </w:t>
            </w:r>
          </w:p>
          <w:p w:rsidR="00A803A9" w:rsidRDefault="00A803A9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Default="00A803A9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управляющего делами,</w:t>
            </w:r>
          </w:p>
          <w:p w:rsidR="00A803A9" w:rsidRPr="00842D85" w:rsidRDefault="00A803A9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минимизация коррупционных рисков при реализации функций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6888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</w:tc>
        <w:tc>
          <w:tcPr>
            <w:tcW w:w="2214" w:type="dxa"/>
          </w:tcPr>
          <w:p w:rsidR="00A803A9" w:rsidRDefault="00A803A9" w:rsidP="00A803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делами,</w:t>
            </w:r>
          </w:p>
          <w:p w:rsidR="00A803A9" w:rsidRDefault="00A803A9" w:rsidP="00A803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3A9" w:rsidRDefault="00A803A9" w:rsidP="00A803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делами,</w:t>
            </w:r>
          </w:p>
          <w:p w:rsidR="00A803A9" w:rsidRDefault="00A803A9" w:rsidP="00A803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3A9" w:rsidRDefault="00A803A9" w:rsidP="00A803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Финансово-бухгалтерский отдел,</w:t>
            </w:r>
          </w:p>
          <w:p w:rsidR="00A803A9" w:rsidRDefault="00A803A9" w:rsidP="00A803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Pr="00842D85" w:rsidRDefault="00A803A9" w:rsidP="00A803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эксплуатации зданий и материально-технического обеспечения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минимизация коррупционных рисков при осуществлении закупок</w:t>
            </w:r>
          </w:p>
        </w:tc>
      </w:tr>
      <w:tr w:rsidR="00842D85" w:rsidRPr="00842D85" w:rsidTr="00CF7E6A">
        <w:tc>
          <w:tcPr>
            <w:tcW w:w="15388" w:type="dxa"/>
            <w:gridSpan w:val="5"/>
          </w:tcPr>
          <w:p w:rsidR="00842D85" w:rsidRPr="005E0D06" w:rsidRDefault="005E0D06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D0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42D85" w:rsidRPr="005E0D06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5E0D06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88" w:type="dxa"/>
          </w:tcPr>
          <w:p w:rsidR="00842D85" w:rsidRPr="00842D85" w:rsidRDefault="00842D85" w:rsidP="00DB3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</w:t>
            </w:r>
            <w:r w:rsidR="00DB37EA">
              <w:rPr>
                <w:rFonts w:ascii="Times New Roman" w:hAnsi="Times New Roman" w:cs="Times New Roman"/>
                <w:sz w:val="28"/>
                <w:szCs w:val="28"/>
              </w:rPr>
              <w:t xml:space="preserve">Первого </w:t>
            </w:r>
            <w:r w:rsidR="00DB37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кассационного суда</w:t>
            </w:r>
          </w:p>
        </w:tc>
        <w:tc>
          <w:tcPr>
            <w:tcW w:w="2214" w:type="dxa"/>
          </w:tcPr>
          <w:p w:rsidR="00842D85" w:rsidRDefault="00DB37EA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управляющий делами,</w:t>
            </w:r>
          </w:p>
          <w:p w:rsidR="00DB37EA" w:rsidRDefault="00DB37EA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EA" w:rsidRPr="00842D85" w:rsidRDefault="00DB37EA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управляющего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делами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отчетного периода</w:t>
            </w:r>
          </w:p>
        </w:tc>
        <w:tc>
          <w:tcPr>
            <w:tcW w:w="3360" w:type="dxa"/>
          </w:tcPr>
          <w:p w:rsidR="00842D85" w:rsidRDefault="00842D85" w:rsidP="00DB3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знания законодательства о противодействии коррупции федеральных государственных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гражданских служащих </w:t>
            </w:r>
            <w:r w:rsidR="00DB37EA">
              <w:rPr>
                <w:rFonts w:ascii="Times New Roman" w:hAnsi="Times New Roman" w:cs="Times New Roman"/>
                <w:sz w:val="28"/>
                <w:szCs w:val="28"/>
              </w:rPr>
              <w:t>Первого кассационного суда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37EA" w:rsidRPr="00842D85" w:rsidRDefault="00DB37EA" w:rsidP="00DB3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5E0D06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DB37EA" w:rsidP="00DB3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обучения федеральных государственных служащих Первого кассационного суда, впервые поступивших на федеральную государственную службу с целью разъяснения запретов и ограничений, установленных в целях противодействия коррупции </w:t>
            </w:r>
          </w:p>
        </w:tc>
        <w:tc>
          <w:tcPr>
            <w:tcW w:w="2214" w:type="dxa"/>
          </w:tcPr>
          <w:p w:rsidR="00842D85" w:rsidRDefault="00DB37EA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делами,</w:t>
            </w:r>
          </w:p>
          <w:p w:rsidR="00DB37EA" w:rsidRDefault="00DB37EA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EA" w:rsidRDefault="00DB37EA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  <w:p w:rsidR="00DB37EA" w:rsidRPr="00842D85" w:rsidRDefault="00DB37EA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360" w:type="dxa"/>
          </w:tcPr>
          <w:p w:rsidR="00842D85" w:rsidRPr="00842D85" w:rsidRDefault="00842D85" w:rsidP="00DB37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DB37EA">
              <w:rPr>
                <w:rFonts w:ascii="Times New Roman" w:hAnsi="Times New Roman" w:cs="Times New Roman"/>
                <w:sz w:val="28"/>
                <w:szCs w:val="28"/>
              </w:rPr>
              <w:t>Первого кассационного суда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5E0D06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федеральных государственных гражданских служащих </w:t>
            </w:r>
            <w:r w:rsidR="001D6DDE">
              <w:rPr>
                <w:rFonts w:ascii="Times New Roman" w:hAnsi="Times New Roman" w:cs="Times New Roman"/>
                <w:sz w:val="28"/>
                <w:szCs w:val="28"/>
              </w:rPr>
              <w:t>Первого кассационного суда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14" w:type="dxa"/>
          </w:tcPr>
          <w:p w:rsidR="001D6DDE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делами, </w:t>
            </w:r>
          </w:p>
          <w:p w:rsidR="001D6DDE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D85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делами,</w:t>
            </w:r>
          </w:p>
          <w:p w:rsidR="001D6DDE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DDE" w:rsidRPr="00842D85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государственной службы и кадров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 года</w:t>
            </w:r>
          </w:p>
        </w:tc>
        <w:tc>
          <w:tcPr>
            <w:tcW w:w="3360" w:type="dxa"/>
          </w:tcPr>
          <w:p w:rsidR="00842D85" w:rsidRPr="00842D85" w:rsidRDefault="00842D85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1D6DDE">
              <w:rPr>
                <w:rFonts w:ascii="Times New Roman" w:hAnsi="Times New Roman" w:cs="Times New Roman"/>
                <w:sz w:val="28"/>
                <w:szCs w:val="28"/>
              </w:rPr>
              <w:t>Первого кассационного суда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, в должностные обязанности которых входит противодействие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5E0D06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1D6DDE">
              <w:rPr>
                <w:rFonts w:ascii="Times New Roman" w:hAnsi="Times New Roman" w:cs="Times New Roman"/>
                <w:sz w:val="28"/>
                <w:szCs w:val="28"/>
              </w:rPr>
              <w:t>Первого кассационного суда общей юрисдикции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14" w:type="dxa"/>
          </w:tcPr>
          <w:p w:rsidR="00842D85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делами, </w:t>
            </w:r>
          </w:p>
          <w:p w:rsidR="001D6DDE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DDE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  <w:p w:rsidR="001D6DDE" w:rsidRPr="00842D85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5E0D06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федеральных государственных гражданских служащих </w:t>
            </w:r>
            <w:r w:rsidR="001D6DDE">
              <w:rPr>
                <w:rFonts w:ascii="Times New Roman" w:hAnsi="Times New Roman" w:cs="Times New Roman"/>
                <w:sz w:val="28"/>
                <w:szCs w:val="28"/>
              </w:rPr>
              <w:t>Первого кассационного суда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14" w:type="dxa"/>
          </w:tcPr>
          <w:p w:rsidR="00842D85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Финансово-бухгалтерский отдел,</w:t>
            </w:r>
          </w:p>
          <w:p w:rsidR="001D6DDE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DDE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эксплуатации зданий и материально-технического обеспечения,</w:t>
            </w:r>
          </w:p>
          <w:p w:rsidR="001D6DDE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DDE" w:rsidRPr="00842D85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государственной службы и кадров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отчетного периода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о проявлениях коррупции в сфере закупок;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о механизмах противодействия коррупции при заключении государственных контрактов;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 об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ответственности за коррупционные нарушения в сфере закупок</w:t>
            </w:r>
          </w:p>
        </w:tc>
      </w:tr>
      <w:tr w:rsidR="00842D85" w:rsidRPr="00842D85" w:rsidTr="00CF7E6A">
        <w:tc>
          <w:tcPr>
            <w:tcW w:w="15388" w:type="dxa"/>
            <w:gridSpan w:val="5"/>
          </w:tcPr>
          <w:p w:rsidR="00842D85" w:rsidRPr="008A5E70" w:rsidRDefault="005E0D06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E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="00842D85" w:rsidRPr="008A5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1D6DDE" w:rsidRPr="008A5E70">
              <w:rPr>
                <w:rFonts w:ascii="Times New Roman" w:hAnsi="Times New Roman" w:cs="Times New Roman"/>
                <w:b/>
                <w:sz w:val="28"/>
                <w:szCs w:val="28"/>
              </w:rPr>
              <w:t>Первого кассационного суда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5E0D06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88" w:type="dxa"/>
          </w:tcPr>
          <w:p w:rsidR="00842D85" w:rsidRPr="00842D85" w:rsidRDefault="00842D85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 w:rsidR="001D6DDE">
              <w:rPr>
                <w:rFonts w:ascii="Times New Roman" w:hAnsi="Times New Roman" w:cs="Times New Roman"/>
                <w:sz w:val="28"/>
                <w:szCs w:val="28"/>
              </w:rPr>
              <w:t>Первом кассационном суде</w:t>
            </w:r>
          </w:p>
        </w:tc>
        <w:tc>
          <w:tcPr>
            <w:tcW w:w="2214" w:type="dxa"/>
          </w:tcPr>
          <w:p w:rsidR="00842D85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делами,</w:t>
            </w:r>
          </w:p>
          <w:p w:rsidR="001D6DDE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DDE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  <w:p w:rsidR="001D6DDE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DDE" w:rsidRPr="00842D85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3360" w:type="dxa"/>
          </w:tcPr>
          <w:p w:rsidR="00842D85" w:rsidRPr="00842D85" w:rsidRDefault="00842D85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предупреждение коррупционных правонарушений в деятельности </w:t>
            </w:r>
            <w:r w:rsidR="001D6DDE">
              <w:rPr>
                <w:rFonts w:ascii="Times New Roman" w:hAnsi="Times New Roman" w:cs="Times New Roman"/>
                <w:sz w:val="28"/>
                <w:szCs w:val="28"/>
              </w:rPr>
              <w:t>Первого кассационного суда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5E0D06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888" w:type="dxa"/>
          </w:tcPr>
          <w:p w:rsidR="00842D85" w:rsidRPr="00842D85" w:rsidRDefault="00842D85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1D6DDE">
              <w:rPr>
                <w:rFonts w:ascii="Times New Roman" w:hAnsi="Times New Roman" w:cs="Times New Roman"/>
                <w:sz w:val="28"/>
                <w:szCs w:val="28"/>
              </w:rPr>
              <w:t>Первом кассационном суде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и применение соответствующих мер реагирования</w:t>
            </w:r>
          </w:p>
        </w:tc>
        <w:tc>
          <w:tcPr>
            <w:tcW w:w="2214" w:type="dxa"/>
          </w:tcPr>
          <w:p w:rsidR="001D6DDE" w:rsidRDefault="001D6DDE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делами,</w:t>
            </w:r>
          </w:p>
          <w:p w:rsidR="001D6DDE" w:rsidRDefault="001D6DDE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DDE" w:rsidRDefault="001D6DDE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постоянно, в течение отчетного периода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5E0D06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Ведение и наполнение раздела "Противодействие коррупции" на официальном сайте </w:t>
            </w:r>
            <w:r w:rsidR="001D6DDE">
              <w:rPr>
                <w:rFonts w:ascii="Times New Roman" w:hAnsi="Times New Roman" w:cs="Times New Roman"/>
                <w:sz w:val="28"/>
                <w:szCs w:val="28"/>
              </w:rPr>
              <w:t>Первого кассационного суда</w:t>
            </w:r>
          </w:p>
        </w:tc>
        <w:tc>
          <w:tcPr>
            <w:tcW w:w="2214" w:type="dxa"/>
          </w:tcPr>
          <w:p w:rsidR="00842D85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делами,</w:t>
            </w:r>
          </w:p>
          <w:p w:rsidR="001D6DDE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DDE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делами,</w:t>
            </w:r>
          </w:p>
          <w:p w:rsidR="001D6DDE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DDE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информатизации, судебной статистики, анализа и обобщения судебной практики</w:t>
            </w:r>
          </w:p>
          <w:p w:rsidR="001D6DDE" w:rsidRPr="00842D85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постоянно,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360" w:type="dxa"/>
          </w:tcPr>
          <w:p w:rsidR="00842D85" w:rsidRPr="00842D85" w:rsidRDefault="00842D85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1D6DDE">
              <w:rPr>
                <w:rFonts w:ascii="Times New Roman" w:hAnsi="Times New Roman" w:cs="Times New Roman"/>
                <w:sz w:val="28"/>
                <w:szCs w:val="28"/>
              </w:rPr>
              <w:t>Первом кассационном суде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5E0D06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функционирования телефона доверия в </w:t>
            </w:r>
            <w:r w:rsidR="001D6DDE">
              <w:rPr>
                <w:rFonts w:ascii="Times New Roman" w:hAnsi="Times New Roman" w:cs="Times New Roman"/>
                <w:sz w:val="28"/>
                <w:szCs w:val="28"/>
              </w:rPr>
              <w:t>Первом кассационном суде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вопросам, связанным с проявлениями коррупции в </w:t>
            </w:r>
            <w:r w:rsidR="001D6DDE">
              <w:rPr>
                <w:rFonts w:ascii="Times New Roman" w:hAnsi="Times New Roman" w:cs="Times New Roman"/>
                <w:sz w:val="28"/>
                <w:szCs w:val="28"/>
              </w:rPr>
              <w:t>суде</w:t>
            </w:r>
          </w:p>
        </w:tc>
        <w:tc>
          <w:tcPr>
            <w:tcW w:w="2214" w:type="dxa"/>
          </w:tcPr>
          <w:p w:rsidR="00842D85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делами,</w:t>
            </w:r>
          </w:p>
          <w:p w:rsidR="001D6DDE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DDE" w:rsidRPr="00842D85" w:rsidRDefault="001D6DDE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360" w:type="dxa"/>
          </w:tcPr>
          <w:p w:rsidR="00842D85" w:rsidRPr="00842D85" w:rsidRDefault="00842D85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эффективной системы обратной связи </w:t>
            </w:r>
            <w:r w:rsidR="001D6DDE">
              <w:rPr>
                <w:rFonts w:ascii="Times New Roman" w:hAnsi="Times New Roman" w:cs="Times New Roman"/>
                <w:sz w:val="28"/>
                <w:szCs w:val="28"/>
              </w:rPr>
              <w:t>Первого кассационного суда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842D85" w:rsidRPr="00842D85" w:rsidTr="00DB37EA">
        <w:tc>
          <w:tcPr>
            <w:tcW w:w="745" w:type="dxa"/>
          </w:tcPr>
          <w:p w:rsidR="00842D85" w:rsidRPr="00842D85" w:rsidRDefault="005E0D06" w:rsidP="005E0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2D85" w:rsidRPr="0084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88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214" w:type="dxa"/>
          </w:tcPr>
          <w:p w:rsidR="001D6DDE" w:rsidRDefault="001D6DDE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делами,</w:t>
            </w:r>
          </w:p>
          <w:p w:rsidR="001D6DDE" w:rsidRDefault="001D6DDE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DDE" w:rsidRDefault="001D6DDE" w:rsidP="001D6D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постоянно,</w:t>
            </w:r>
          </w:p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3360" w:type="dxa"/>
          </w:tcPr>
          <w:p w:rsidR="00842D85" w:rsidRPr="00842D85" w:rsidRDefault="00842D85" w:rsidP="00842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85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</w:t>
            </w:r>
            <w:r w:rsidRPr="00842D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правонарушения</w:t>
            </w:r>
          </w:p>
        </w:tc>
      </w:tr>
    </w:tbl>
    <w:p w:rsidR="006F4096" w:rsidRPr="006F4096" w:rsidRDefault="006F4096" w:rsidP="008A5E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4096" w:rsidRPr="006F4096" w:rsidSect="00FA4076">
      <w:pgSz w:w="16838" w:h="11906" w:orient="landscape"/>
      <w:pgMar w:top="1135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8193D"/>
    <w:multiLevelType w:val="hybridMultilevel"/>
    <w:tmpl w:val="0D48E9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56"/>
    <w:rsid w:val="00015CC4"/>
    <w:rsid w:val="000335EC"/>
    <w:rsid w:val="00046E55"/>
    <w:rsid w:val="000472BB"/>
    <w:rsid w:val="000819E7"/>
    <w:rsid w:val="000825CB"/>
    <w:rsid w:val="00097483"/>
    <w:rsid w:val="000A5971"/>
    <w:rsid w:val="000E11A5"/>
    <w:rsid w:val="000F0E6B"/>
    <w:rsid w:val="000F355A"/>
    <w:rsid w:val="000F373E"/>
    <w:rsid w:val="000F4C32"/>
    <w:rsid w:val="00104619"/>
    <w:rsid w:val="00106972"/>
    <w:rsid w:val="001441F9"/>
    <w:rsid w:val="001A1C71"/>
    <w:rsid w:val="001A2931"/>
    <w:rsid w:val="001D6DDE"/>
    <w:rsid w:val="00201DE1"/>
    <w:rsid w:val="0021333B"/>
    <w:rsid w:val="002513E9"/>
    <w:rsid w:val="002720F7"/>
    <w:rsid w:val="0027707D"/>
    <w:rsid w:val="0029682F"/>
    <w:rsid w:val="002A499D"/>
    <w:rsid w:val="002C5D00"/>
    <w:rsid w:val="002F0AB9"/>
    <w:rsid w:val="003016D9"/>
    <w:rsid w:val="00310A8C"/>
    <w:rsid w:val="00317F28"/>
    <w:rsid w:val="00320969"/>
    <w:rsid w:val="00342E5F"/>
    <w:rsid w:val="00356D64"/>
    <w:rsid w:val="00360EE9"/>
    <w:rsid w:val="003924AB"/>
    <w:rsid w:val="003A566A"/>
    <w:rsid w:val="003C0394"/>
    <w:rsid w:val="003D7811"/>
    <w:rsid w:val="003F3049"/>
    <w:rsid w:val="00404F2A"/>
    <w:rsid w:val="00413CFC"/>
    <w:rsid w:val="00415DC6"/>
    <w:rsid w:val="00416E1B"/>
    <w:rsid w:val="00455AB8"/>
    <w:rsid w:val="00470F6C"/>
    <w:rsid w:val="00480B72"/>
    <w:rsid w:val="00484D16"/>
    <w:rsid w:val="004874F9"/>
    <w:rsid w:val="00490660"/>
    <w:rsid w:val="004A2295"/>
    <w:rsid w:val="00507826"/>
    <w:rsid w:val="00516C11"/>
    <w:rsid w:val="0051748F"/>
    <w:rsid w:val="00522D82"/>
    <w:rsid w:val="005D0E3E"/>
    <w:rsid w:val="005E0D06"/>
    <w:rsid w:val="006161DE"/>
    <w:rsid w:val="00672604"/>
    <w:rsid w:val="00674D59"/>
    <w:rsid w:val="00674E47"/>
    <w:rsid w:val="006755F8"/>
    <w:rsid w:val="006F1DBC"/>
    <w:rsid w:val="006F4096"/>
    <w:rsid w:val="0070173C"/>
    <w:rsid w:val="0074297F"/>
    <w:rsid w:val="007913CA"/>
    <w:rsid w:val="007920FB"/>
    <w:rsid w:val="007C2016"/>
    <w:rsid w:val="007D766B"/>
    <w:rsid w:val="0080497D"/>
    <w:rsid w:val="008234EE"/>
    <w:rsid w:val="0082546D"/>
    <w:rsid w:val="00835218"/>
    <w:rsid w:val="00842D85"/>
    <w:rsid w:val="00846D12"/>
    <w:rsid w:val="00851C3B"/>
    <w:rsid w:val="00860A9F"/>
    <w:rsid w:val="00883A20"/>
    <w:rsid w:val="00891FD6"/>
    <w:rsid w:val="008A5E70"/>
    <w:rsid w:val="008C119F"/>
    <w:rsid w:val="008D3E10"/>
    <w:rsid w:val="008E0C6B"/>
    <w:rsid w:val="008E4739"/>
    <w:rsid w:val="00924309"/>
    <w:rsid w:val="00965049"/>
    <w:rsid w:val="009D24CE"/>
    <w:rsid w:val="009F4317"/>
    <w:rsid w:val="00A05AB1"/>
    <w:rsid w:val="00A25F11"/>
    <w:rsid w:val="00A404AA"/>
    <w:rsid w:val="00A47B49"/>
    <w:rsid w:val="00A52AE2"/>
    <w:rsid w:val="00A60B93"/>
    <w:rsid w:val="00A803A9"/>
    <w:rsid w:val="00A840BA"/>
    <w:rsid w:val="00AC194D"/>
    <w:rsid w:val="00AD45EB"/>
    <w:rsid w:val="00AF12D6"/>
    <w:rsid w:val="00B16285"/>
    <w:rsid w:val="00B5518D"/>
    <w:rsid w:val="00B93776"/>
    <w:rsid w:val="00BA21BB"/>
    <w:rsid w:val="00BA3629"/>
    <w:rsid w:val="00BA4656"/>
    <w:rsid w:val="00BD679D"/>
    <w:rsid w:val="00BD77F5"/>
    <w:rsid w:val="00BF5ACF"/>
    <w:rsid w:val="00C407A8"/>
    <w:rsid w:val="00C56A20"/>
    <w:rsid w:val="00C93BF5"/>
    <w:rsid w:val="00CB119A"/>
    <w:rsid w:val="00CD1A3C"/>
    <w:rsid w:val="00CE4176"/>
    <w:rsid w:val="00CF7E6A"/>
    <w:rsid w:val="00D00144"/>
    <w:rsid w:val="00D047D4"/>
    <w:rsid w:val="00D17F6F"/>
    <w:rsid w:val="00D57D0E"/>
    <w:rsid w:val="00D76E3B"/>
    <w:rsid w:val="00DA160F"/>
    <w:rsid w:val="00DB2D50"/>
    <w:rsid w:val="00DB37EA"/>
    <w:rsid w:val="00DB6703"/>
    <w:rsid w:val="00DD18A7"/>
    <w:rsid w:val="00DE4135"/>
    <w:rsid w:val="00DE478A"/>
    <w:rsid w:val="00E6219F"/>
    <w:rsid w:val="00E84B91"/>
    <w:rsid w:val="00E96564"/>
    <w:rsid w:val="00EC4508"/>
    <w:rsid w:val="00EC7007"/>
    <w:rsid w:val="00EF20A8"/>
    <w:rsid w:val="00F01996"/>
    <w:rsid w:val="00F37B19"/>
    <w:rsid w:val="00F71D19"/>
    <w:rsid w:val="00F94CDB"/>
    <w:rsid w:val="00F94FCB"/>
    <w:rsid w:val="00F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1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4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4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8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7A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71D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-4">
    <w:name w:val="Light List Accent 4"/>
    <w:basedOn w:val="a1"/>
    <w:uiPriority w:val="61"/>
    <w:rsid w:val="00455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">
    <w:name w:val="Light List Accent 3"/>
    <w:basedOn w:val="a1"/>
    <w:uiPriority w:val="61"/>
    <w:rsid w:val="00455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6">
    <w:name w:val="Table Grid"/>
    <w:basedOn w:val="a1"/>
    <w:uiPriority w:val="59"/>
    <w:rsid w:val="00517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17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1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4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4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8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7A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71D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-4">
    <w:name w:val="Light List Accent 4"/>
    <w:basedOn w:val="a1"/>
    <w:uiPriority w:val="61"/>
    <w:rsid w:val="00455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">
    <w:name w:val="Light List Accent 3"/>
    <w:basedOn w:val="a1"/>
    <w:uiPriority w:val="61"/>
    <w:rsid w:val="00455A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6">
    <w:name w:val="Table Grid"/>
    <w:basedOn w:val="a1"/>
    <w:uiPriority w:val="59"/>
    <w:rsid w:val="00517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17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198" TargetMode="External"/><Relationship Id="rId13" Type="http://schemas.openxmlformats.org/officeDocument/2006/relationships/hyperlink" Target="https://login.consultant.ru/link/?req=doc&amp;base=LAW&amp;n=49204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64393" TargetMode="External"/><Relationship Id="rId12" Type="http://schemas.openxmlformats.org/officeDocument/2006/relationships/hyperlink" Target="https://login.consultant.ru/link/?req=doc&amp;base=LAW&amp;n=48287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204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78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0651" TargetMode="External"/><Relationship Id="rId14" Type="http://schemas.openxmlformats.org/officeDocument/2006/relationships/hyperlink" Target="https://login.consultant.ru/link/?req=doc&amp;base=LAW&amp;n=469774&amp;dst=49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5C3FB-634A-44AE-9388-812B1A20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22</Pages>
  <Words>3868</Words>
  <Characters>22050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Арьяна Руслановна Шудуева</dc:creator>
  <cp:lastModifiedBy>Наталья Александровна Лобанова</cp:lastModifiedBy>
  <cp:revision>33</cp:revision>
  <cp:lastPrinted>2026-05-12T06:10:00Z</cp:lastPrinted>
  <dcterms:created xsi:type="dcterms:W3CDTF">2022-01-24T04:59:00Z</dcterms:created>
  <dcterms:modified xsi:type="dcterms:W3CDTF">2026-05-12T06:10:00Z</dcterms:modified>
</cp:coreProperties>
</file>