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proofErr w:type="spellStart"/>
            <w:r w:rsidR="002D75E9">
              <w:rPr>
                <w:sz w:val="26"/>
                <w:szCs w:val="26"/>
              </w:rPr>
              <w:t>Красноперекопского</w:t>
            </w:r>
            <w:proofErr w:type="spellEnd"/>
            <w:r>
              <w:rPr>
                <w:sz w:val="26"/>
                <w:szCs w:val="26"/>
              </w:rPr>
              <w:t xml:space="preserve"> районного суда Республики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2D75E9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3B" w:rsidRDefault="00067C3B" w:rsidP="001B47A8">
      <w:r>
        <w:separator/>
      </w:r>
    </w:p>
  </w:endnote>
  <w:endnote w:type="continuationSeparator" w:id="0">
    <w:p w:rsidR="00067C3B" w:rsidRDefault="00067C3B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3B" w:rsidRDefault="00067C3B" w:rsidP="001B47A8">
      <w:r>
        <w:separator/>
      </w:r>
    </w:p>
  </w:footnote>
  <w:footnote w:type="continuationSeparator" w:id="0">
    <w:p w:rsidR="00067C3B" w:rsidRDefault="00067C3B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719"/>
    <w:rsid w:val="00067C3B"/>
    <w:rsid w:val="0014475B"/>
    <w:rsid w:val="00196140"/>
    <w:rsid w:val="001B47A8"/>
    <w:rsid w:val="001C639C"/>
    <w:rsid w:val="002D75E9"/>
    <w:rsid w:val="00347FBD"/>
    <w:rsid w:val="00362F47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E4A31"/>
    <w:rsid w:val="00923C38"/>
    <w:rsid w:val="00937EAA"/>
    <w:rsid w:val="009D7D33"/>
    <w:rsid w:val="00A72D3A"/>
    <w:rsid w:val="00A94CC9"/>
    <w:rsid w:val="00B14373"/>
    <w:rsid w:val="00B37AD7"/>
    <w:rsid w:val="00B74E9C"/>
    <w:rsid w:val="00BA129F"/>
    <w:rsid w:val="00BC3DCF"/>
    <w:rsid w:val="00C33312"/>
    <w:rsid w:val="00C83428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6</cp:revision>
  <cp:lastPrinted>2020-08-24T12:28:00Z</cp:lastPrinted>
  <dcterms:created xsi:type="dcterms:W3CDTF">2025-05-12T10:21:00Z</dcterms:created>
  <dcterms:modified xsi:type="dcterms:W3CDTF">2025-09-02T08:53:00Z</dcterms:modified>
</cp:coreProperties>
</file>