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120" w:after="0" w:line="240" w:lineRule="auto"/>
        <w:ind w:right="-2"/>
        <w:jc w:val="center"/>
        <w:rPr>
          <w:rFonts w:ascii="Times New Roman" w:eastAsia="Times New Roman" w:hAnsi="Times New Roman" w:cs="Times New Roman"/>
          <w:b/>
          <w:sz w:val="24"/>
          <w:szCs w:val="24"/>
          <w:lang w:val="ru-RU"/>
        </w:rPr>
      </w:pPr>
      <w:bookmarkStart w:id="0" w:name="_GoBack"/>
      <w:bookmarkEnd w:id="0"/>
      <w:r>
        <w:rPr>
          <w:rFonts w:ascii="Times New Roman" w:eastAsia="Times New Roman" w:hAnsi="Times New Roman" w:cs="Times New Roman"/>
          <w:b/>
          <w:sz w:val="24"/>
          <w:szCs w:val="24"/>
          <w:lang w:val="ru-RU"/>
        </w:rPr>
        <w:t>Основные положения</w:t>
      </w:r>
    </w:p>
    <w:p>
      <w:pPr>
        <w:spacing w:before="120" w:after="0" w:line="240" w:lineRule="auto"/>
        <w:ind w:right="-2"/>
        <w:jc w:val="center"/>
        <w:rPr>
          <w:rFonts w:ascii="Times New Roman" w:eastAsia="Times New Roman" w:hAnsi="Times New Roman" w:cs="Times New Roman"/>
          <w:b/>
          <w:sz w:val="24"/>
          <w:szCs w:val="24"/>
          <w:lang w:val="ru-RU"/>
        </w:rPr>
      </w:pPr>
      <w:r>
        <w:rPr>
          <w:rFonts w:ascii="Times New Roman" w:eastAsia="Times New Roman" w:hAnsi="Times New Roman" w:cs="Times New Roman"/>
          <w:b/>
          <w:sz w:val="24"/>
          <w:szCs w:val="24"/>
          <w:lang w:val="ru-RU"/>
        </w:rPr>
        <w:t>Учетной политики</w:t>
      </w:r>
    </w:p>
    <w:p>
      <w:pPr>
        <w:spacing w:before="120" w:after="0" w:line="240" w:lineRule="auto"/>
        <w:ind w:right="-2"/>
        <w:jc w:val="center"/>
        <w:rPr>
          <w:rFonts w:ascii="Times New Roman" w:eastAsia="Times New Roman" w:hAnsi="Times New Roman" w:cs="Times New Roman"/>
          <w:b/>
          <w:sz w:val="24"/>
          <w:szCs w:val="24"/>
          <w:lang w:val="ru-RU"/>
        </w:rPr>
      </w:pPr>
      <w:r>
        <w:rPr>
          <w:rFonts w:ascii="Times New Roman" w:eastAsia="Times New Roman" w:hAnsi="Times New Roman" w:cs="Times New Roman"/>
          <w:b/>
          <w:sz w:val="24"/>
          <w:szCs w:val="24"/>
          <w:lang w:val="ru-RU"/>
        </w:rPr>
        <w:t>Архангельского областного суда</w:t>
      </w:r>
    </w:p>
    <w:p>
      <w:pPr>
        <w:widowControl w:val="0"/>
        <w:spacing w:before="120" w:after="0" w:line="240" w:lineRule="auto"/>
        <w:ind w:right="-2"/>
        <w:jc w:val="center"/>
        <w:rPr>
          <w:rFonts w:ascii="Times New Roman" w:eastAsia="Times New Roman" w:hAnsi="Times New Roman" w:cs="Times New Roman"/>
          <w:i/>
          <w:sz w:val="24"/>
          <w:szCs w:val="24"/>
          <w:lang w:val="ru-RU"/>
        </w:rPr>
      </w:pPr>
      <w:proofErr w:type="gramStart"/>
      <w:r>
        <w:rPr>
          <w:rFonts w:ascii="Times New Roman" w:eastAsia="Times New Roman" w:hAnsi="Times New Roman" w:cs="Times New Roman"/>
          <w:i/>
          <w:sz w:val="24"/>
          <w:szCs w:val="24"/>
          <w:lang w:val="ru-RU"/>
        </w:rPr>
        <w:t xml:space="preserve">(утвержденной приказом </w:t>
      </w:r>
      <w:proofErr w:type="spellStart"/>
      <w:r>
        <w:rPr>
          <w:rFonts w:ascii="Times New Roman" w:eastAsia="Times New Roman" w:hAnsi="Times New Roman" w:cs="Times New Roman"/>
          <w:i/>
          <w:sz w:val="24"/>
          <w:szCs w:val="24"/>
          <w:lang w:val="ru-RU"/>
        </w:rPr>
        <w:t>и.о</w:t>
      </w:r>
      <w:proofErr w:type="spellEnd"/>
      <w:r>
        <w:rPr>
          <w:rFonts w:ascii="Times New Roman" w:eastAsia="Times New Roman" w:hAnsi="Times New Roman" w:cs="Times New Roman"/>
          <w:i/>
          <w:sz w:val="24"/>
          <w:szCs w:val="24"/>
          <w:lang w:val="ru-RU"/>
        </w:rPr>
        <w:t>. председателя суда от 29.12.2018 г. №71-од,</w:t>
      </w:r>
      <w:proofErr w:type="gramEnd"/>
    </w:p>
    <w:p>
      <w:pPr>
        <w:widowControl w:val="0"/>
        <w:spacing w:before="120" w:after="0" w:line="240" w:lineRule="auto"/>
        <w:ind w:right="-2"/>
        <w:jc w:val="center"/>
        <w:rPr>
          <w:rFonts w:ascii="Times New Roman" w:eastAsia="Times New Roman" w:hAnsi="Times New Roman" w:cs="Times New Roman"/>
          <w:i/>
          <w:sz w:val="24"/>
          <w:szCs w:val="24"/>
          <w:lang w:val="ru-RU"/>
        </w:rPr>
      </w:pPr>
      <w:r>
        <w:rPr>
          <w:rFonts w:ascii="Times New Roman" w:eastAsia="Times New Roman" w:hAnsi="Times New Roman" w:cs="Times New Roman"/>
          <w:i/>
          <w:sz w:val="24"/>
          <w:szCs w:val="24"/>
          <w:lang w:val="ru-RU"/>
        </w:rPr>
        <w:t>в редакции приказов от 30.12.2019 № 89-од, от 03.06.2020 №31-од,</w:t>
      </w:r>
    </w:p>
    <w:p>
      <w:pPr>
        <w:widowControl w:val="0"/>
        <w:spacing w:before="120" w:after="0" w:line="240" w:lineRule="auto"/>
        <w:ind w:right="-2"/>
        <w:jc w:val="center"/>
        <w:rPr>
          <w:rFonts w:ascii="Times New Roman" w:eastAsia="Times New Roman" w:hAnsi="Times New Roman" w:cs="Times New Roman"/>
          <w:i/>
          <w:sz w:val="24"/>
          <w:szCs w:val="24"/>
          <w:lang w:val="ru-RU"/>
        </w:rPr>
      </w:pPr>
      <w:r>
        <w:rPr>
          <w:rFonts w:ascii="Times New Roman" w:eastAsia="Times New Roman" w:hAnsi="Times New Roman" w:cs="Times New Roman"/>
          <w:i/>
          <w:sz w:val="24"/>
          <w:szCs w:val="24"/>
          <w:lang w:val="ru-RU"/>
        </w:rPr>
        <w:t>от 30.12.2020 №82-од, от 30.12.2022 №71-од, от 24.04.2023 №8/1-од,</w:t>
      </w:r>
    </w:p>
    <w:p>
      <w:pPr>
        <w:widowControl w:val="0"/>
        <w:spacing w:before="120" w:after="0" w:line="240" w:lineRule="auto"/>
        <w:ind w:right="-2"/>
        <w:jc w:val="center"/>
        <w:rPr>
          <w:rFonts w:ascii="Times New Roman" w:eastAsia="Times New Roman" w:hAnsi="Times New Roman" w:cs="Times New Roman"/>
          <w:i/>
          <w:sz w:val="24"/>
          <w:szCs w:val="24"/>
          <w:lang w:val="ru-RU"/>
        </w:rPr>
      </w:pPr>
      <w:r>
        <w:rPr>
          <w:rFonts w:ascii="Times New Roman" w:eastAsia="Times New Roman" w:hAnsi="Times New Roman" w:cs="Times New Roman"/>
          <w:i/>
          <w:sz w:val="24"/>
          <w:szCs w:val="24"/>
          <w:lang w:val="ru-RU"/>
        </w:rPr>
        <w:t>от 31.08.2023 № 34/1-од, от 29.12.2023 №71-од, 12.02.2024 №25-од,</w:t>
      </w:r>
    </w:p>
    <w:p>
      <w:pPr>
        <w:widowControl w:val="0"/>
        <w:spacing w:before="120" w:after="0" w:line="240" w:lineRule="auto"/>
        <w:ind w:right="-2"/>
        <w:jc w:val="center"/>
        <w:rPr>
          <w:rFonts w:ascii="Times New Roman" w:eastAsia="Times New Roman" w:hAnsi="Times New Roman" w:cs="Times New Roman"/>
          <w:i/>
          <w:sz w:val="24"/>
          <w:szCs w:val="24"/>
          <w:lang w:val="ru-RU"/>
        </w:rPr>
      </w:pPr>
      <w:proofErr w:type="gramStart"/>
      <w:r>
        <w:rPr>
          <w:rFonts w:ascii="Times New Roman" w:eastAsia="Times New Roman" w:hAnsi="Times New Roman" w:cs="Times New Roman"/>
          <w:i/>
          <w:sz w:val="24"/>
          <w:szCs w:val="24"/>
          <w:lang w:val="ru-RU"/>
        </w:rPr>
        <w:t>18.12.2024 143-од, от 26.12.2025 88-од, от 28.05.2026 № 36-од)</w:t>
      </w:r>
      <w:proofErr w:type="gramEnd"/>
    </w:p>
    <w:p>
      <w:pPr>
        <w:widowControl w:val="0"/>
        <w:spacing w:before="120" w:after="0" w:line="240" w:lineRule="auto"/>
        <w:ind w:right="-2"/>
        <w:jc w:val="center"/>
        <w:rPr>
          <w:rFonts w:ascii="Times New Roman" w:eastAsia="Times New Roman" w:hAnsi="Times New Roman" w:cs="Times New Roman"/>
          <w:i/>
          <w:sz w:val="24"/>
          <w:szCs w:val="24"/>
          <w:lang w:val="ru-RU"/>
        </w:rPr>
      </w:pPr>
    </w:p>
    <w:p>
      <w:pPr>
        <w:widowControl w:val="0"/>
        <w:spacing w:before="120" w:after="0" w:line="240" w:lineRule="auto"/>
        <w:ind w:right="-2"/>
        <w:jc w:val="center"/>
        <w:rPr>
          <w:rFonts w:ascii="Times New Roman" w:eastAsia="Times New Roman" w:hAnsi="Times New Roman" w:cs="Times New Roman"/>
          <w:i/>
          <w:sz w:val="24"/>
          <w:szCs w:val="24"/>
          <w:lang w:val="ru-RU"/>
        </w:rPr>
      </w:pPr>
    </w:p>
    <w:p>
      <w:pPr>
        <w:spacing w:after="0" w:line="240" w:lineRule="auto"/>
        <w:jc w:val="center"/>
        <w:rPr>
          <w:rFonts w:ascii="Times New Roman" w:hAnsi="Times New Roman" w:cs="Times New Roman"/>
          <w:sz w:val="24"/>
          <w:szCs w:val="24"/>
          <w:lang w:val="ru-RU"/>
        </w:rPr>
      </w:pPr>
      <w:r>
        <w:rPr>
          <w:rFonts w:ascii="Times New Roman" w:hAnsi="Times New Roman" w:cs="Times New Roman"/>
          <w:b/>
          <w:bCs/>
          <w:sz w:val="24"/>
          <w:szCs w:val="24"/>
          <w:lang w:val="ru-RU"/>
        </w:rPr>
        <w:t>Общие положения</w:t>
      </w:r>
    </w:p>
    <w:p>
      <w:pPr>
        <w:pStyle w:val="defaultStyle"/>
        <w:spacing w:before="120" w:after="0" w:line="240" w:lineRule="auto"/>
        <w:ind w:right="-2" w:firstLine="567"/>
        <w:rPr>
          <w:rFonts w:ascii="Times New Roman" w:hAnsi="Times New Roman" w:cs="Times New Roman"/>
          <w:szCs w:val="24"/>
        </w:rPr>
      </w:pPr>
      <w:r>
        <w:rPr>
          <w:rFonts w:ascii="Times New Roman" w:hAnsi="Times New Roman" w:cs="Times New Roman"/>
          <w:szCs w:val="24"/>
        </w:rPr>
        <w:t xml:space="preserve">    </w:t>
      </w:r>
      <w:r>
        <w:t xml:space="preserve"> </w:t>
      </w:r>
      <w:r>
        <w:rPr>
          <w:rFonts w:ascii="Times New Roman" w:hAnsi="Times New Roman" w:cs="Times New Roman"/>
          <w:szCs w:val="24"/>
        </w:rPr>
        <w:t>Архангельский областной суд (далее – Суд) осуществляет свою деятельность на основании Федерального конституционного закона от 07.02.2011 № 1-ФКЗ «О судах общей юрисдикции Российской Федерации».</w:t>
      </w:r>
    </w:p>
    <w:p>
      <w:pPr>
        <w:pStyle w:val="defaultStyle"/>
        <w:spacing w:before="120" w:after="0" w:line="240" w:lineRule="auto"/>
        <w:ind w:right="-2" w:firstLine="567"/>
        <w:rPr>
          <w:rFonts w:ascii="Times New Roman" w:hAnsi="Times New Roman" w:cs="Times New Roman"/>
          <w:szCs w:val="24"/>
        </w:rPr>
      </w:pPr>
      <w:r>
        <w:rPr>
          <w:rFonts w:ascii="Times New Roman" w:hAnsi="Times New Roman" w:cs="Times New Roman"/>
          <w:szCs w:val="24"/>
        </w:rPr>
        <w:t>Учетная политика Архангельского областного суда (далее – Суд) разработана и применяется в соответствии со следующими нормативными документами:</w:t>
      </w:r>
    </w:p>
    <w:p>
      <w:pPr>
        <w:spacing w:after="0" w:line="240" w:lineRule="auto"/>
        <w:ind w:firstLine="567"/>
        <w:jc w:val="both"/>
        <w:rPr>
          <w:rFonts w:ascii="Times New Roman" w:hAnsi="Times New Roman" w:cs="Times New Roman"/>
          <w:sz w:val="24"/>
          <w:szCs w:val="24"/>
          <w:lang w:val="ru-RU"/>
        </w:rPr>
      </w:pPr>
      <w:r>
        <w:rPr>
          <w:rFonts w:ascii="Times New Roman" w:hAnsi="Times New Roman" w:cs="Times New Roman"/>
          <w:sz w:val="24"/>
          <w:szCs w:val="24"/>
          <w:lang w:val="ru-RU"/>
        </w:rPr>
        <w:t>- с приказом Минфина от 30.08.2024 № 121н «Об утверждении федерального стандарта бухгалтерского учета государственных финансов "Единый план счетов бухгалтерского учета государственных финансов» (далее — СГС «Единый план счетов» № 121н);</w:t>
      </w:r>
    </w:p>
    <w:p>
      <w:pPr>
        <w:spacing w:after="0" w:line="240" w:lineRule="auto"/>
        <w:ind w:firstLine="567"/>
        <w:jc w:val="both"/>
        <w:rPr>
          <w:rFonts w:ascii="Times New Roman" w:hAnsi="Times New Roman" w:cs="Times New Roman"/>
          <w:sz w:val="24"/>
          <w:szCs w:val="24"/>
          <w:lang w:val="ru-RU"/>
        </w:rPr>
      </w:pPr>
      <w:r>
        <w:rPr>
          <w:rFonts w:ascii="Times New Roman" w:hAnsi="Times New Roman" w:cs="Times New Roman"/>
          <w:sz w:val="24"/>
          <w:szCs w:val="24"/>
          <w:lang w:val="ru-RU"/>
        </w:rPr>
        <w:t>- приказом Минфина от 20.09.2024 № 132н</w:t>
      </w:r>
      <w:r>
        <w:rPr>
          <w:rFonts w:ascii="Times New Roman" w:hAnsi="Times New Roman" w:cs="Times New Roman"/>
          <w:sz w:val="24"/>
          <w:szCs w:val="24"/>
        </w:rPr>
        <w:t> </w:t>
      </w:r>
      <w:r>
        <w:rPr>
          <w:rFonts w:ascii="Times New Roman" w:hAnsi="Times New Roman" w:cs="Times New Roman"/>
          <w:sz w:val="24"/>
          <w:szCs w:val="24"/>
          <w:lang w:val="ru-RU"/>
        </w:rPr>
        <w:t>«Об утверждении федерального стандарта бухгалтерского учета государственных финансов "План счетов бюджетного учета"» (далее – СГС «План счетов бюджетного учета» № 132н);</w:t>
      </w:r>
    </w:p>
    <w:p>
      <w:pPr>
        <w:spacing w:after="0" w:line="240" w:lineRule="auto"/>
        <w:ind w:firstLine="567"/>
        <w:jc w:val="both"/>
        <w:rPr>
          <w:rFonts w:ascii="Times New Roman" w:hAnsi="Times New Roman" w:cs="Times New Roman"/>
          <w:sz w:val="24"/>
          <w:szCs w:val="24"/>
          <w:lang w:val="ru-RU"/>
        </w:rPr>
      </w:pPr>
      <w:r>
        <w:rPr>
          <w:rFonts w:ascii="Times New Roman" w:hAnsi="Times New Roman" w:cs="Times New Roman"/>
          <w:sz w:val="24"/>
          <w:szCs w:val="24"/>
          <w:lang w:val="ru-RU"/>
        </w:rPr>
        <w:t>- приказом Минфина от 24.05.2022 №</w:t>
      </w:r>
      <w:r>
        <w:rPr>
          <w:rFonts w:ascii="Times New Roman" w:hAnsi="Times New Roman" w:cs="Times New Roman"/>
          <w:sz w:val="24"/>
          <w:szCs w:val="24"/>
        </w:rPr>
        <w:t> </w:t>
      </w:r>
      <w:r>
        <w:rPr>
          <w:rFonts w:ascii="Times New Roman" w:hAnsi="Times New Roman" w:cs="Times New Roman"/>
          <w:sz w:val="24"/>
          <w:szCs w:val="24"/>
          <w:lang w:val="ru-RU"/>
        </w:rPr>
        <w:t>82н «О Порядке формирования и</w:t>
      </w:r>
      <w:r>
        <w:rPr>
          <w:rFonts w:ascii="Times New Roman" w:hAnsi="Times New Roman" w:cs="Times New Roman"/>
          <w:sz w:val="24"/>
          <w:szCs w:val="24"/>
        </w:rPr>
        <w:t> </w:t>
      </w:r>
      <w:r>
        <w:rPr>
          <w:rFonts w:ascii="Times New Roman" w:hAnsi="Times New Roman" w:cs="Times New Roman"/>
          <w:sz w:val="24"/>
          <w:szCs w:val="24"/>
          <w:lang w:val="ru-RU"/>
        </w:rPr>
        <w:t>применения кодов бюджетной классификации Российской Федерации, их</w:t>
      </w:r>
      <w:r>
        <w:rPr>
          <w:rFonts w:ascii="Times New Roman" w:hAnsi="Times New Roman" w:cs="Times New Roman"/>
          <w:sz w:val="24"/>
          <w:szCs w:val="24"/>
        </w:rPr>
        <w:t> </w:t>
      </w:r>
      <w:r>
        <w:rPr>
          <w:rFonts w:ascii="Times New Roman" w:hAnsi="Times New Roman" w:cs="Times New Roman"/>
          <w:sz w:val="24"/>
          <w:szCs w:val="24"/>
          <w:lang w:val="ru-RU"/>
        </w:rPr>
        <w:t>структуре и</w:t>
      </w:r>
      <w:r>
        <w:rPr>
          <w:rFonts w:ascii="Times New Roman" w:hAnsi="Times New Roman" w:cs="Times New Roman"/>
          <w:sz w:val="24"/>
          <w:szCs w:val="24"/>
        </w:rPr>
        <w:t> </w:t>
      </w:r>
      <w:r>
        <w:rPr>
          <w:rFonts w:ascii="Times New Roman" w:hAnsi="Times New Roman" w:cs="Times New Roman"/>
          <w:sz w:val="24"/>
          <w:szCs w:val="24"/>
          <w:lang w:val="ru-RU"/>
        </w:rPr>
        <w:t>принципах назначения» (далее</w:t>
      </w:r>
      <w:r>
        <w:rPr>
          <w:rFonts w:ascii="Times New Roman" w:hAnsi="Times New Roman" w:cs="Times New Roman"/>
          <w:sz w:val="24"/>
          <w:szCs w:val="24"/>
        </w:rPr>
        <w:t> </w:t>
      </w:r>
      <w:r>
        <w:rPr>
          <w:rFonts w:ascii="Times New Roman" w:hAnsi="Times New Roman" w:cs="Times New Roman"/>
          <w:sz w:val="24"/>
          <w:szCs w:val="24"/>
          <w:lang w:val="ru-RU"/>
        </w:rPr>
        <w:t>— приказ №</w:t>
      </w:r>
      <w:r>
        <w:rPr>
          <w:rFonts w:ascii="Times New Roman" w:hAnsi="Times New Roman" w:cs="Times New Roman"/>
          <w:sz w:val="24"/>
          <w:szCs w:val="24"/>
        </w:rPr>
        <w:t> </w:t>
      </w:r>
      <w:r>
        <w:rPr>
          <w:rFonts w:ascii="Times New Roman" w:hAnsi="Times New Roman" w:cs="Times New Roman"/>
          <w:sz w:val="24"/>
          <w:szCs w:val="24"/>
          <w:lang w:val="ru-RU"/>
        </w:rPr>
        <w:t>82н);</w:t>
      </w:r>
    </w:p>
    <w:p>
      <w:pPr>
        <w:spacing w:after="0" w:line="240" w:lineRule="auto"/>
        <w:ind w:firstLine="567"/>
        <w:jc w:val="both"/>
        <w:rPr>
          <w:rFonts w:ascii="Times New Roman" w:hAnsi="Times New Roman" w:cs="Times New Roman"/>
          <w:sz w:val="24"/>
          <w:szCs w:val="24"/>
          <w:lang w:val="ru-RU"/>
        </w:rPr>
      </w:pPr>
      <w:r>
        <w:rPr>
          <w:rFonts w:ascii="Times New Roman" w:hAnsi="Times New Roman" w:cs="Times New Roman"/>
          <w:sz w:val="24"/>
          <w:szCs w:val="24"/>
          <w:lang w:val="ru-RU"/>
        </w:rPr>
        <w:t>- приказом Минфина от 11.2017 №</w:t>
      </w:r>
      <w:r>
        <w:rPr>
          <w:rFonts w:ascii="Times New Roman" w:hAnsi="Times New Roman" w:cs="Times New Roman"/>
          <w:sz w:val="24"/>
          <w:szCs w:val="24"/>
        </w:rPr>
        <w:t> </w:t>
      </w:r>
      <w:r>
        <w:rPr>
          <w:rFonts w:ascii="Times New Roman" w:hAnsi="Times New Roman" w:cs="Times New Roman"/>
          <w:sz w:val="24"/>
          <w:szCs w:val="24"/>
          <w:lang w:val="ru-RU"/>
        </w:rPr>
        <w:t>209н «Об</w:t>
      </w:r>
      <w:r>
        <w:rPr>
          <w:rFonts w:ascii="Times New Roman" w:hAnsi="Times New Roman" w:cs="Times New Roman"/>
          <w:sz w:val="24"/>
          <w:szCs w:val="24"/>
        </w:rPr>
        <w:t> </w:t>
      </w:r>
      <w:r>
        <w:rPr>
          <w:rFonts w:ascii="Times New Roman" w:hAnsi="Times New Roman" w:cs="Times New Roman"/>
          <w:sz w:val="24"/>
          <w:szCs w:val="24"/>
          <w:lang w:val="ru-RU"/>
        </w:rPr>
        <w:t xml:space="preserve">утверждении </w:t>
      </w:r>
      <w:proofErr w:type="gramStart"/>
      <w:r>
        <w:rPr>
          <w:rFonts w:ascii="Times New Roman" w:hAnsi="Times New Roman" w:cs="Times New Roman"/>
          <w:sz w:val="24"/>
          <w:szCs w:val="24"/>
          <w:lang w:val="ru-RU"/>
        </w:rPr>
        <w:t>Порядка применения классификации операций сектора государственного</w:t>
      </w:r>
      <w:proofErr w:type="gramEnd"/>
      <w:r>
        <w:rPr>
          <w:rFonts w:ascii="Times New Roman" w:hAnsi="Times New Roman" w:cs="Times New Roman"/>
          <w:sz w:val="24"/>
          <w:szCs w:val="24"/>
          <w:lang w:val="ru-RU"/>
        </w:rPr>
        <w:t xml:space="preserve"> управления» (далее</w:t>
      </w:r>
      <w:r>
        <w:rPr>
          <w:rFonts w:ascii="Times New Roman" w:hAnsi="Times New Roman" w:cs="Times New Roman"/>
          <w:sz w:val="24"/>
          <w:szCs w:val="24"/>
        </w:rPr>
        <w:t> </w:t>
      </w:r>
      <w:r>
        <w:rPr>
          <w:rFonts w:ascii="Times New Roman" w:hAnsi="Times New Roman" w:cs="Times New Roman"/>
          <w:sz w:val="24"/>
          <w:szCs w:val="24"/>
          <w:lang w:val="ru-RU"/>
        </w:rPr>
        <w:t>— приказ №</w:t>
      </w:r>
      <w:r>
        <w:rPr>
          <w:rFonts w:ascii="Times New Roman" w:hAnsi="Times New Roman" w:cs="Times New Roman"/>
          <w:sz w:val="24"/>
          <w:szCs w:val="24"/>
        </w:rPr>
        <w:t> </w:t>
      </w:r>
      <w:r>
        <w:rPr>
          <w:rFonts w:ascii="Times New Roman" w:hAnsi="Times New Roman" w:cs="Times New Roman"/>
          <w:sz w:val="24"/>
          <w:szCs w:val="24"/>
          <w:lang w:val="ru-RU"/>
        </w:rPr>
        <w:t>209н);</w:t>
      </w:r>
    </w:p>
    <w:p>
      <w:pPr>
        <w:spacing w:after="0" w:line="240" w:lineRule="auto"/>
        <w:ind w:firstLine="567"/>
        <w:jc w:val="both"/>
        <w:rPr>
          <w:rFonts w:ascii="Times New Roman" w:hAnsi="Times New Roman" w:cs="Times New Roman"/>
          <w:sz w:val="24"/>
          <w:szCs w:val="24"/>
          <w:lang w:val="ru-RU"/>
        </w:rPr>
      </w:pPr>
      <w:r>
        <w:rPr>
          <w:rFonts w:ascii="Times New Roman" w:hAnsi="Times New Roman" w:cs="Times New Roman"/>
          <w:sz w:val="24"/>
          <w:szCs w:val="24"/>
          <w:lang w:val="ru-RU"/>
        </w:rPr>
        <w:t>- приказом Минфина от 30.03.2015 №</w:t>
      </w:r>
      <w:r>
        <w:rPr>
          <w:rFonts w:ascii="Times New Roman" w:hAnsi="Times New Roman" w:cs="Times New Roman"/>
          <w:sz w:val="24"/>
          <w:szCs w:val="24"/>
        </w:rPr>
        <w:t> </w:t>
      </w:r>
      <w:r>
        <w:rPr>
          <w:rFonts w:ascii="Times New Roman" w:hAnsi="Times New Roman" w:cs="Times New Roman"/>
          <w:sz w:val="24"/>
          <w:szCs w:val="24"/>
          <w:lang w:val="ru-RU"/>
        </w:rPr>
        <w:t>52н «Об</w:t>
      </w:r>
      <w:r>
        <w:rPr>
          <w:rFonts w:ascii="Times New Roman" w:hAnsi="Times New Roman" w:cs="Times New Roman"/>
          <w:sz w:val="24"/>
          <w:szCs w:val="24"/>
        </w:rPr>
        <w:t> </w:t>
      </w:r>
      <w:r>
        <w:rPr>
          <w:rFonts w:ascii="Times New Roman" w:hAnsi="Times New Roman" w:cs="Times New Roman"/>
          <w:sz w:val="24"/>
          <w:szCs w:val="24"/>
          <w:lang w:val="ru-RU"/>
        </w:rPr>
        <w:t>утверждении форм первичных учетных документов и</w:t>
      </w:r>
      <w:r>
        <w:rPr>
          <w:rFonts w:ascii="Times New Roman" w:hAnsi="Times New Roman" w:cs="Times New Roman"/>
          <w:sz w:val="24"/>
          <w:szCs w:val="24"/>
        </w:rPr>
        <w:t> </w:t>
      </w:r>
      <w:r>
        <w:rPr>
          <w:rFonts w:ascii="Times New Roman" w:hAnsi="Times New Roman" w:cs="Times New Roman"/>
          <w:sz w:val="24"/>
          <w:szCs w:val="24"/>
          <w:lang w:val="ru-RU"/>
        </w:rPr>
        <w:t>регистров бухгалтерского учета, применяемых органами государственной власти (государственными органами), органами местного самоуправления, органами управления государственными внебюджетными фондами, государственными (муниципальными) учреждениями, и</w:t>
      </w:r>
      <w:r>
        <w:rPr>
          <w:rFonts w:ascii="Times New Roman" w:hAnsi="Times New Roman" w:cs="Times New Roman"/>
          <w:sz w:val="24"/>
          <w:szCs w:val="24"/>
        </w:rPr>
        <w:t> </w:t>
      </w:r>
      <w:r>
        <w:rPr>
          <w:rFonts w:ascii="Times New Roman" w:hAnsi="Times New Roman" w:cs="Times New Roman"/>
          <w:sz w:val="24"/>
          <w:szCs w:val="24"/>
          <w:lang w:val="ru-RU"/>
        </w:rPr>
        <w:t>Методических указаний по</w:t>
      </w:r>
      <w:r>
        <w:rPr>
          <w:rFonts w:ascii="Times New Roman" w:hAnsi="Times New Roman" w:cs="Times New Roman"/>
          <w:sz w:val="24"/>
          <w:szCs w:val="24"/>
        </w:rPr>
        <w:t> </w:t>
      </w:r>
      <w:r>
        <w:rPr>
          <w:rFonts w:ascii="Times New Roman" w:hAnsi="Times New Roman" w:cs="Times New Roman"/>
          <w:sz w:val="24"/>
          <w:szCs w:val="24"/>
          <w:lang w:val="ru-RU"/>
        </w:rPr>
        <w:t>их</w:t>
      </w:r>
      <w:r>
        <w:rPr>
          <w:rFonts w:ascii="Times New Roman" w:hAnsi="Times New Roman" w:cs="Times New Roman"/>
          <w:sz w:val="24"/>
          <w:szCs w:val="24"/>
        </w:rPr>
        <w:t> </w:t>
      </w:r>
      <w:r>
        <w:rPr>
          <w:rFonts w:ascii="Times New Roman" w:hAnsi="Times New Roman" w:cs="Times New Roman"/>
          <w:sz w:val="24"/>
          <w:szCs w:val="24"/>
          <w:lang w:val="ru-RU"/>
        </w:rPr>
        <w:t>применению» (далее</w:t>
      </w:r>
      <w:r>
        <w:rPr>
          <w:rFonts w:ascii="Times New Roman" w:hAnsi="Times New Roman" w:cs="Times New Roman"/>
          <w:sz w:val="24"/>
          <w:szCs w:val="24"/>
        </w:rPr>
        <w:t> </w:t>
      </w:r>
      <w:r>
        <w:rPr>
          <w:rFonts w:ascii="Times New Roman" w:hAnsi="Times New Roman" w:cs="Times New Roman"/>
          <w:sz w:val="24"/>
          <w:szCs w:val="24"/>
          <w:lang w:val="ru-RU"/>
        </w:rPr>
        <w:t>— приказ №</w:t>
      </w:r>
      <w:r>
        <w:rPr>
          <w:rFonts w:ascii="Times New Roman" w:hAnsi="Times New Roman" w:cs="Times New Roman"/>
          <w:sz w:val="24"/>
          <w:szCs w:val="24"/>
        </w:rPr>
        <w:t> </w:t>
      </w:r>
      <w:r>
        <w:rPr>
          <w:rFonts w:ascii="Times New Roman" w:hAnsi="Times New Roman" w:cs="Times New Roman"/>
          <w:sz w:val="24"/>
          <w:szCs w:val="24"/>
          <w:lang w:val="ru-RU"/>
        </w:rPr>
        <w:t>52н);</w:t>
      </w:r>
    </w:p>
    <w:p>
      <w:pPr>
        <w:spacing w:after="0" w:line="240" w:lineRule="auto"/>
        <w:ind w:firstLine="567"/>
        <w:jc w:val="both"/>
        <w:rPr>
          <w:rFonts w:ascii="Times New Roman" w:hAnsi="Times New Roman" w:cs="Times New Roman"/>
          <w:sz w:val="24"/>
          <w:szCs w:val="24"/>
          <w:lang w:val="ru-RU"/>
        </w:rPr>
      </w:pPr>
      <w:r>
        <w:rPr>
          <w:rFonts w:ascii="Times New Roman" w:hAnsi="Times New Roman" w:cs="Times New Roman"/>
          <w:sz w:val="24"/>
          <w:szCs w:val="24"/>
          <w:lang w:val="ru-RU"/>
        </w:rPr>
        <w:t>- приказом Минфина от 15.04.2021 №</w:t>
      </w:r>
      <w:r>
        <w:rPr>
          <w:rFonts w:ascii="Times New Roman" w:hAnsi="Times New Roman" w:cs="Times New Roman"/>
          <w:sz w:val="24"/>
          <w:szCs w:val="24"/>
        </w:rPr>
        <w:t> </w:t>
      </w:r>
      <w:r>
        <w:rPr>
          <w:rFonts w:ascii="Times New Roman" w:hAnsi="Times New Roman" w:cs="Times New Roman"/>
          <w:sz w:val="24"/>
          <w:szCs w:val="24"/>
          <w:lang w:val="ru-RU"/>
        </w:rPr>
        <w:t>61н «Об</w:t>
      </w:r>
      <w:r>
        <w:rPr>
          <w:rFonts w:ascii="Times New Roman" w:hAnsi="Times New Roman" w:cs="Times New Roman"/>
          <w:sz w:val="24"/>
          <w:szCs w:val="24"/>
        </w:rPr>
        <w:t> </w:t>
      </w:r>
      <w:r>
        <w:rPr>
          <w:rFonts w:ascii="Times New Roman" w:hAnsi="Times New Roman" w:cs="Times New Roman"/>
          <w:sz w:val="24"/>
          <w:szCs w:val="24"/>
          <w:lang w:val="ru-RU"/>
        </w:rPr>
        <w:t>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w:t>
      </w:r>
      <w:r>
        <w:rPr>
          <w:rFonts w:ascii="Times New Roman" w:hAnsi="Times New Roman" w:cs="Times New Roman"/>
          <w:sz w:val="24"/>
          <w:szCs w:val="24"/>
        </w:rPr>
        <w:t> </w:t>
      </w:r>
      <w:r>
        <w:rPr>
          <w:rFonts w:ascii="Times New Roman" w:hAnsi="Times New Roman" w:cs="Times New Roman"/>
          <w:sz w:val="24"/>
          <w:szCs w:val="24"/>
          <w:lang w:val="ru-RU"/>
        </w:rPr>
        <w:t>Методических указаний по</w:t>
      </w:r>
      <w:r>
        <w:rPr>
          <w:rFonts w:ascii="Times New Roman" w:hAnsi="Times New Roman" w:cs="Times New Roman"/>
          <w:sz w:val="24"/>
          <w:szCs w:val="24"/>
        </w:rPr>
        <w:t> </w:t>
      </w:r>
      <w:r>
        <w:rPr>
          <w:rFonts w:ascii="Times New Roman" w:hAnsi="Times New Roman" w:cs="Times New Roman"/>
          <w:sz w:val="24"/>
          <w:szCs w:val="24"/>
          <w:lang w:val="ru-RU"/>
        </w:rPr>
        <w:t>их</w:t>
      </w:r>
      <w:r>
        <w:rPr>
          <w:rFonts w:ascii="Times New Roman" w:hAnsi="Times New Roman" w:cs="Times New Roman"/>
          <w:sz w:val="24"/>
          <w:szCs w:val="24"/>
        </w:rPr>
        <w:t> </w:t>
      </w:r>
      <w:r>
        <w:rPr>
          <w:rFonts w:ascii="Times New Roman" w:hAnsi="Times New Roman" w:cs="Times New Roman"/>
          <w:sz w:val="24"/>
          <w:szCs w:val="24"/>
          <w:lang w:val="ru-RU"/>
        </w:rPr>
        <w:t>формированию и</w:t>
      </w:r>
      <w:r>
        <w:rPr>
          <w:rFonts w:ascii="Times New Roman" w:hAnsi="Times New Roman" w:cs="Times New Roman"/>
          <w:sz w:val="24"/>
          <w:szCs w:val="24"/>
        </w:rPr>
        <w:t> </w:t>
      </w:r>
      <w:r>
        <w:rPr>
          <w:rFonts w:ascii="Times New Roman" w:hAnsi="Times New Roman" w:cs="Times New Roman"/>
          <w:sz w:val="24"/>
          <w:szCs w:val="24"/>
          <w:lang w:val="ru-RU"/>
        </w:rPr>
        <w:t>применению» (далее</w:t>
      </w:r>
      <w:r>
        <w:rPr>
          <w:rFonts w:ascii="Times New Roman" w:hAnsi="Times New Roman" w:cs="Times New Roman"/>
          <w:sz w:val="24"/>
          <w:szCs w:val="24"/>
        </w:rPr>
        <w:t> </w:t>
      </w:r>
      <w:r>
        <w:rPr>
          <w:rFonts w:ascii="Times New Roman" w:hAnsi="Times New Roman" w:cs="Times New Roman"/>
          <w:sz w:val="24"/>
          <w:szCs w:val="24"/>
          <w:lang w:val="ru-RU"/>
        </w:rPr>
        <w:t>— приказ №</w:t>
      </w:r>
      <w:r>
        <w:rPr>
          <w:rFonts w:ascii="Times New Roman" w:hAnsi="Times New Roman" w:cs="Times New Roman"/>
          <w:sz w:val="24"/>
          <w:szCs w:val="24"/>
        </w:rPr>
        <w:t> </w:t>
      </w:r>
      <w:r>
        <w:rPr>
          <w:rFonts w:ascii="Times New Roman" w:hAnsi="Times New Roman" w:cs="Times New Roman"/>
          <w:sz w:val="24"/>
          <w:szCs w:val="24"/>
          <w:lang w:val="ru-RU"/>
        </w:rPr>
        <w:t>61н);</w:t>
      </w:r>
    </w:p>
    <w:p>
      <w:pPr>
        <w:spacing w:after="0" w:line="240" w:lineRule="auto"/>
        <w:ind w:firstLine="567"/>
        <w:jc w:val="both"/>
        <w:rPr>
          <w:rFonts w:ascii="Times New Roman" w:hAnsi="Times New Roman" w:cs="Times New Roman"/>
          <w:sz w:val="24"/>
          <w:szCs w:val="24"/>
          <w:lang w:val="ru-RU"/>
        </w:rPr>
      </w:pPr>
      <w:proofErr w:type="gramStart"/>
      <w:r>
        <w:rPr>
          <w:rFonts w:ascii="Times New Roman" w:hAnsi="Times New Roman" w:cs="Times New Roman"/>
          <w:sz w:val="24"/>
          <w:szCs w:val="24"/>
          <w:lang w:val="ru-RU"/>
        </w:rPr>
        <w:t>- федеральными стандартами бухгалтерского учета государственных финансов, утвержденными приказами Минфина от 12.2016 № 256н, 257н, 258н, 259н, 260н (далее — соответственно СГС «Концептуальные основы бухучета и отчетности», СГС «Основные средства», СГС «Аренда», СГС «Обесценение активов», СГС «Представление бухгалтерской (финансовой) отчетности»), от 30.12.2017 № 274н, 275н, 278н (далее — соответственно СГС «Учетная политика, оценочные значения и ошибки», СГС «События после отчетной даты»,  СГС «Отчет о движении</w:t>
      </w:r>
      <w:proofErr w:type="gramEnd"/>
      <w:r>
        <w:rPr>
          <w:rFonts w:ascii="Times New Roman" w:hAnsi="Times New Roman" w:cs="Times New Roman"/>
          <w:sz w:val="24"/>
          <w:szCs w:val="24"/>
          <w:lang w:val="ru-RU"/>
        </w:rPr>
        <w:t xml:space="preserve"> денежных средств»), от 27.02.2018 № 32н (далее  — СГС «Доходы»), от 28.02.2018 № 34н (далее — СГС «Непроизведенные </w:t>
      </w:r>
      <w:r>
        <w:rPr>
          <w:rFonts w:ascii="Times New Roman" w:hAnsi="Times New Roman" w:cs="Times New Roman"/>
          <w:sz w:val="24"/>
          <w:szCs w:val="24"/>
          <w:lang w:val="ru-RU"/>
        </w:rPr>
        <w:lastRenderedPageBreak/>
        <w:t xml:space="preserve">активы»), от 30.05.2018 № 122н, 124н (далее — соответственно СГС «Влияние изменений курсов иностранных валют», СГС «Резервы»), от 07.12.2018 № 256н (далее — СГС «Запасы»),  от 15.11.2019 № 181н, 184н (далее — соответственно СГС «Нематериальные активы», СГС «Выплаты персоналу»). </w:t>
      </w:r>
    </w:p>
    <w:p>
      <w:pPr>
        <w:widowControl w:val="0"/>
        <w:rPr>
          <w:lang w:val="ru-RU"/>
        </w:rPr>
      </w:pPr>
    </w:p>
    <w:p>
      <w:pPr>
        <w:jc w:val="center"/>
        <w:rPr>
          <w:lang w:val="ru-RU"/>
        </w:rPr>
      </w:pPr>
      <w:r>
        <w:rPr>
          <w:rFonts w:ascii="Times New Roman" w:hAnsi="Times New Roman" w:cs="Times New Roman"/>
          <w:b/>
          <w:bCs/>
          <w:sz w:val="24"/>
          <w:szCs w:val="24"/>
          <w:lang w:val="ru-RU"/>
        </w:rPr>
        <w:t>Организация бюджетного учета</w:t>
      </w:r>
    </w:p>
    <w:p>
      <w:pPr>
        <w:pStyle w:val="defaultStyle"/>
        <w:spacing w:before="120" w:after="0" w:line="240" w:lineRule="auto"/>
        <w:ind w:right="-2" w:firstLine="567"/>
        <w:rPr>
          <w:rFonts w:ascii="Times New Roman" w:hAnsi="Times New Roman" w:cs="Times New Roman"/>
          <w:szCs w:val="24"/>
        </w:rPr>
      </w:pPr>
      <w:r>
        <w:rPr>
          <w:rFonts w:ascii="Times New Roman" w:hAnsi="Times New Roman" w:cs="Times New Roman"/>
          <w:szCs w:val="24"/>
        </w:rPr>
        <w:t>1.1 Бюджетный учет ведется структурным подразделением (финансово-экономическим отделом), возглавляемым начальником отдела (главным бухгалтером). Деятельность структурного подразделения регламентируется Положением об отделе и должностными регламентами сотрудников отдела (ч. 3 ст. 7 Закона № 402-ФЗ).</w:t>
      </w:r>
    </w:p>
    <w:p>
      <w:pPr>
        <w:pStyle w:val="defaultStyle"/>
        <w:spacing w:before="120" w:after="0" w:line="240" w:lineRule="auto"/>
        <w:ind w:right="-2" w:firstLine="567"/>
        <w:rPr>
          <w:rFonts w:ascii="Times New Roman" w:hAnsi="Times New Roman" w:cs="Times New Roman"/>
          <w:szCs w:val="24"/>
        </w:rPr>
      </w:pPr>
      <w:r>
        <w:rPr>
          <w:rFonts w:ascii="Times New Roman" w:hAnsi="Times New Roman" w:cs="Times New Roman"/>
          <w:szCs w:val="24"/>
        </w:rPr>
        <w:t>1.2 Ответственным за ведение бюджетного учета в Суде является начальник отдела (главный бухгалтер). Основание: часть 3 статьи 7 Закона от 06.12.2011 № 402-ФЗ.</w:t>
      </w:r>
    </w:p>
    <w:p>
      <w:pPr>
        <w:pStyle w:val="defaultStyle"/>
        <w:spacing w:before="120" w:after="0" w:line="240" w:lineRule="auto"/>
        <w:ind w:right="-2" w:firstLine="567"/>
        <w:rPr>
          <w:rFonts w:ascii="Times New Roman" w:hAnsi="Times New Roman" w:cs="Times New Roman"/>
          <w:szCs w:val="24"/>
        </w:rPr>
      </w:pPr>
      <w:r>
        <w:rPr>
          <w:rFonts w:ascii="Times New Roman" w:hAnsi="Times New Roman" w:cs="Times New Roman"/>
          <w:szCs w:val="24"/>
        </w:rPr>
        <w:t>1.3 Начальник отдела (главный бухгалтер) подчиняется непосредственно руководителю Суда и несет ответственность за формирование учетной политики, ведение бухгалтерского учета, своевременное представление полной и достоверной бухгалтерской и налоговой отчетности.</w:t>
      </w:r>
    </w:p>
    <w:p>
      <w:pPr>
        <w:pStyle w:val="defaultStyle"/>
        <w:spacing w:before="120" w:after="0" w:line="240" w:lineRule="auto"/>
        <w:ind w:right="-2" w:firstLine="567"/>
        <w:rPr>
          <w:rFonts w:ascii="Times New Roman" w:hAnsi="Times New Roman" w:cs="Times New Roman"/>
          <w:szCs w:val="24"/>
        </w:rPr>
      </w:pPr>
      <w:r>
        <w:rPr>
          <w:rFonts w:ascii="Times New Roman" w:hAnsi="Times New Roman" w:cs="Times New Roman"/>
          <w:szCs w:val="24"/>
        </w:rPr>
        <w:t>1.4</w:t>
      </w:r>
      <w:proofErr w:type="gramStart"/>
      <w:r>
        <w:rPr>
          <w:rFonts w:ascii="Times New Roman" w:hAnsi="Times New Roman" w:cs="Times New Roman"/>
          <w:szCs w:val="24"/>
        </w:rPr>
        <w:t xml:space="preserve">  В</w:t>
      </w:r>
      <w:proofErr w:type="gramEnd"/>
      <w:r>
        <w:rPr>
          <w:rFonts w:ascii="Times New Roman" w:hAnsi="Times New Roman" w:cs="Times New Roman"/>
          <w:szCs w:val="24"/>
        </w:rPr>
        <w:t xml:space="preserve"> Суде организованна работа  постоянно действующих комиссий, утвержденных приказами председателя Суда.</w:t>
      </w:r>
    </w:p>
    <w:p>
      <w:pPr>
        <w:pStyle w:val="defaultStyle"/>
        <w:spacing w:before="120" w:after="0" w:line="240" w:lineRule="auto"/>
        <w:ind w:right="-2" w:firstLine="567"/>
        <w:rPr>
          <w:rFonts w:ascii="Times New Roman" w:hAnsi="Times New Roman" w:cs="Times New Roman"/>
          <w:szCs w:val="24"/>
        </w:rPr>
      </w:pPr>
      <w:r>
        <w:rPr>
          <w:rFonts w:ascii="Times New Roman" w:hAnsi="Times New Roman" w:cs="Times New Roman"/>
          <w:szCs w:val="24"/>
        </w:rPr>
        <w:t>1.5  Суд размещает на своем сайте обобщенную информацию из учетной политики: основные положения, способы ведения учета и особенности, установленные документами учетной политики, с указанием их реквизитов. Основание: пункт 9 СГС «Учетная политика, оценочные значения и ошибки». </w:t>
      </w:r>
    </w:p>
    <w:p>
      <w:pPr>
        <w:pStyle w:val="defaultStyle"/>
        <w:spacing w:before="120" w:after="0" w:line="240" w:lineRule="auto"/>
        <w:ind w:right="-2" w:firstLine="567"/>
        <w:rPr>
          <w:rFonts w:ascii="Times New Roman" w:hAnsi="Times New Roman" w:cs="Times New Roman"/>
          <w:szCs w:val="24"/>
        </w:rPr>
      </w:pPr>
      <w:r>
        <w:rPr>
          <w:rFonts w:ascii="Times New Roman" w:hAnsi="Times New Roman" w:cs="Times New Roman"/>
          <w:szCs w:val="24"/>
        </w:rPr>
        <w:t>1.6</w:t>
      </w:r>
      <w:proofErr w:type="gramStart"/>
      <w:r>
        <w:rPr>
          <w:rFonts w:ascii="Times New Roman" w:hAnsi="Times New Roman" w:cs="Times New Roman"/>
          <w:szCs w:val="24"/>
        </w:rPr>
        <w:t xml:space="preserve">  П</w:t>
      </w:r>
      <w:proofErr w:type="gramEnd"/>
      <w:r>
        <w:rPr>
          <w:rFonts w:ascii="Times New Roman" w:hAnsi="Times New Roman" w:cs="Times New Roman"/>
          <w:szCs w:val="24"/>
        </w:rPr>
        <w:t>ри внесении изменений в учетную политику главный бухгалтер оценивает в целях сопоставления отчетности существенность изменения показателей, отражающих финансовое положение, финансовые результаты деятельности учреждения и движение его денежных средств на основе своего профессионального суждения. Также на основе профессионального суждения оценивается существенность ошибок отчетного периода, выявленных после утверждения отчетности, в целях принятия решения о раскрытии в Пояснениях к отчетности информации о существенных ошибках. Основание: пункты 17, 20, 32 СГС «Учетная политика, оценочные значения и ошибки».</w:t>
      </w:r>
    </w:p>
    <w:p>
      <w:pPr>
        <w:rPr>
          <w:lang w:val="ru-RU"/>
        </w:rPr>
      </w:pPr>
    </w:p>
    <w:p>
      <w:pPr>
        <w:jc w:val="center"/>
        <w:rPr>
          <w:rFonts w:ascii="Times New Roman" w:hAnsi="Times New Roman" w:cs="Times New Roman"/>
          <w:b/>
          <w:bCs/>
          <w:sz w:val="24"/>
          <w:szCs w:val="24"/>
          <w:lang w:val="ru-RU"/>
        </w:rPr>
      </w:pPr>
      <w:r>
        <w:rPr>
          <w:rFonts w:ascii="Times New Roman" w:hAnsi="Times New Roman" w:cs="Times New Roman"/>
          <w:b/>
          <w:bCs/>
          <w:sz w:val="24"/>
          <w:szCs w:val="24"/>
          <w:lang w:val="ru-RU"/>
        </w:rPr>
        <w:t>Правила документооборота</w:t>
      </w:r>
    </w:p>
    <w:p>
      <w:pPr>
        <w:pStyle w:val="defaultStyle"/>
        <w:spacing w:before="120" w:after="0" w:line="240" w:lineRule="auto"/>
        <w:ind w:right="-2" w:firstLine="567"/>
        <w:rPr>
          <w:rFonts w:ascii="Times New Roman" w:hAnsi="Times New Roman" w:cs="Times New Roman"/>
          <w:szCs w:val="24"/>
        </w:rPr>
      </w:pPr>
      <w:r>
        <w:rPr>
          <w:rFonts w:ascii="Times New Roman" w:hAnsi="Times New Roman" w:cs="Times New Roman"/>
          <w:szCs w:val="24"/>
        </w:rPr>
        <w:t>Бюджетный учет ведется по первичным документам, которые проверены сотрудниками финансово-экономического отдела.</w:t>
      </w:r>
    </w:p>
    <w:p>
      <w:pPr>
        <w:pStyle w:val="defaultStyle"/>
        <w:spacing w:before="120" w:after="0" w:line="240" w:lineRule="auto"/>
        <w:ind w:right="-2" w:firstLine="567"/>
        <w:rPr>
          <w:rFonts w:ascii="Times New Roman" w:hAnsi="Times New Roman" w:cs="Times New Roman"/>
          <w:szCs w:val="24"/>
        </w:rPr>
      </w:pPr>
      <w:r>
        <w:rPr>
          <w:rFonts w:ascii="Times New Roman" w:hAnsi="Times New Roman" w:cs="Times New Roman"/>
          <w:szCs w:val="24"/>
        </w:rPr>
        <w:t>Порядок и сроки  передачи первичных учетных документов для отражения в бухгалтерском учете установлены в графике документооборота, который утверждается отдельным приказом руководителя.</w:t>
      </w:r>
    </w:p>
    <w:p>
      <w:pPr>
        <w:pStyle w:val="defaultStyle"/>
        <w:spacing w:before="120" w:after="0" w:line="240" w:lineRule="auto"/>
        <w:ind w:right="-2" w:firstLine="567"/>
        <w:rPr>
          <w:rFonts w:ascii="Times New Roman" w:hAnsi="Times New Roman" w:cs="Times New Roman"/>
          <w:szCs w:val="24"/>
        </w:rPr>
      </w:pPr>
      <w:r>
        <w:rPr>
          <w:rFonts w:ascii="Times New Roman" w:hAnsi="Times New Roman" w:cs="Times New Roman"/>
          <w:szCs w:val="24"/>
        </w:rPr>
        <w:t>Первичные учетные документы формируются в соответствии с пунктами 10, 12 приложения № 2 к СГС «Учетная политика, оценочные значения и ошибки».</w:t>
      </w:r>
    </w:p>
    <w:p>
      <w:pPr>
        <w:pStyle w:val="defaultStyle"/>
        <w:spacing w:before="120" w:after="0" w:line="240" w:lineRule="auto"/>
        <w:ind w:right="-2" w:firstLine="567"/>
        <w:rPr>
          <w:rFonts w:ascii="Times New Roman" w:hAnsi="Times New Roman" w:cs="Times New Roman"/>
          <w:szCs w:val="24"/>
        </w:rPr>
      </w:pPr>
    </w:p>
    <w:p>
      <w:pPr>
        <w:rPr>
          <w:lang w:val="ru-RU"/>
        </w:rPr>
      </w:pPr>
    </w:p>
    <w:p>
      <w:pPr>
        <w:jc w:val="center"/>
        <w:rPr>
          <w:rFonts w:ascii="Times New Roman" w:hAnsi="Times New Roman" w:cs="Times New Roman"/>
          <w:b/>
          <w:bCs/>
          <w:sz w:val="24"/>
          <w:szCs w:val="24"/>
          <w:lang w:val="ru-RU"/>
        </w:rPr>
      </w:pPr>
      <w:r>
        <w:rPr>
          <w:rFonts w:ascii="Times New Roman" w:hAnsi="Times New Roman" w:cs="Times New Roman"/>
          <w:b/>
          <w:bCs/>
          <w:sz w:val="24"/>
          <w:szCs w:val="24"/>
          <w:lang w:val="ru-RU"/>
        </w:rPr>
        <w:t>Рабочий план счетов</w:t>
      </w:r>
    </w:p>
    <w:p>
      <w:pPr>
        <w:pStyle w:val="defaultStyle"/>
        <w:spacing w:before="120" w:after="0" w:line="240" w:lineRule="auto"/>
        <w:ind w:right="-2" w:firstLine="567"/>
        <w:rPr>
          <w:rFonts w:ascii="Times New Roman" w:hAnsi="Times New Roman" w:cs="Times New Roman"/>
          <w:szCs w:val="24"/>
        </w:rPr>
      </w:pPr>
      <w:r>
        <w:rPr>
          <w:rFonts w:ascii="Times New Roman" w:hAnsi="Times New Roman" w:cs="Times New Roman"/>
          <w:szCs w:val="24"/>
        </w:rPr>
        <w:t xml:space="preserve">Бюджетный учет ведется с использованием Рабочего плана счетов, разработанного в соответствии с СГС «Единый план счетов» № 121н, СГС «План счетов» № 132н. </w:t>
      </w:r>
      <w:r>
        <w:rPr>
          <w:rFonts w:ascii="Times New Roman" w:hAnsi="Times New Roman" w:cs="Times New Roman"/>
          <w:szCs w:val="24"/>
        </w:rPr>
        <w:lastRenderedPageBreak/>
        <w:t>Основание: пункт 19 СГС «Концептуальные основы бухучета и отчетности», подпункт «б» пункта 9 СГС «Учетная политика, оценочные значения и ошибки»</w:t>
      </w:r>
    </w:p>
    <w:p>
      <w:pPr>
        <w:pStyle w:val="defaultStyle"/>
        <w:spacing w:before="120" w:after="0" w:line="240" w:lineRule="auto"/>
        <w:ind w:right="-2" w:firstLine="567"/>
        <w:rPr>
          <w:rFonts w:ascii="Times New Roman" w:hAnsi="Times New Roman" w:cs="Times New Roman"/>
          <w:szCs w:val="24"/>
        </w:rPr>
      </w:pPr>
    </w:p>
    <w:p>
      <w:pPr>
        <w:jc w:val="center"/>
        <w:rPr>
          <w:rFonts w:ascii="Times New Roman" w:hAnsi="Times New Roman" w:cs="Times New Roman"/>
          <w:b/>
          <w:bCs/>
          <w:sz w:val="24"/>
          <w:szCs w:val="24"/>
          <w:lang w:val="ru-RU"/>
        </w:rPr>
      </w:pPr>
      <w:r>
        <w:rPr>
          <w:rFonts w:ascii="Times New Roman" w:hAnsi="Times New Roman" w:cs="Times New Roman"/>
          <w:b/>
          <w:bCs/>
          <w:sz w:val="24"/>
          <w:szCs w:val="24"/>
          <w:lang w:val="ru-RU"/>
        </w:rPr>
        <w:t>Учет отдельных видов имущества и обязательств</w:t>
      </w:r>
    </w:p>
    <w:p>
      <w:pPr>
        <w:spacing w:after="0" w:line="240" w:lineRule="auto"/>
        <w:ind w:firstLine="567"/>
        <w:jc w:val="both"/>
        <w:rPr>
          <w:rFonts w:ascii="Times New Roman" w:hAnsi="Times New Roman" w:cs="Times New Roman"/>
          <w:sz w:val="24"/>
          <w:szCs w:val="24"/>
          <w:lang w:val="ru-RU"/>
        </w:rPr>
      </w:pPr>
      <w:r>
        <w:rPr>
          <w:rFonts w:ascii="Times New Roman" w:hAnsi="Times New Roman" w:cs="Times New Roman"/>
          <w:sz w:val="24"/>
          <w:szCs w:val="24"/>
          <w:lang w:val="ru-RU"/>
        </w:rPr>
        <w:t>Бюджетный учет ведется по первичным документам, которые проверены сотрудниками финансово-экономического отдела в соответствии с Положением о внутреннем финансовом контроле (Приложение №3). Основание: пункт 23 СГС «Концептуальные основы бухучета и отчетности».</w:t>
      </w:r>
    </w:p>
    <w:p>
      <w:pPr>
        <w:spacing w:after="0" w:line="240" w:lineRule="auto"/>
        <w:ind w:firstLine="567"/>
        <w:jc w:val="both"/>
        <w:rPr>
          <w:rFonts w:ascii="Times New Roman" w:hAnsi="Times New Roman" w:cs="Times New Roman"/>
          <w:sz w:val="24"/>
          <w:szCs w:val="24"/>
          <w:lang w:val="ru-RU"/>
        </w:rPr>
      </w:pPr>
      <w:r>
        <w:rPr>
          <w:rFonts w:ascii="Times New Roman" w:hAnsi="Times New Roman" w:cs="Times New Roman"/>
          <w:sz w:val="24"/>
          <w:szCs w:val="24"/>
          <w:lang w:val="ru-RU"/>
        </w:rPr>
        <w:t>Для случаев, которые не</w:t>
      </w:r>
      <w:r>
        <w:rPr>
          <w:rFonts w:ascii="Times New Roman" w:hAnsi="Times New Roman" w:cs="Times New Roman"/>
          <w:sz w:val="24"/>
          <w:szCs w:val="24"/>
        </w:rPr>
        <w:t> </w:t>
      </w:r>
      <w:r>
        <w:rPr>
          <w:rFonts w:ascii="Times New Roman" w:hAnsi="Times New Roman" w:cs="Times New Roman"/>
          <w:sz w:val="24"/>
          <w:szCs w:val="24"/>
          <w:lang w:val="ru-RU"/>
        </w:rPr>
        <w:t>установлены в</w:t>
      </w:r>
      <w:r>
        <w:rPr>
          <w:rFonts w:ascii="Times New Roman" w:hAnsi="Times New Roman" w:cs="Times New Roman"/>
          <w:sz w:val="24"/>
          <w:szCs w:val="24"/>
        </w:rPr>
        <w:t> </w:t>
      </w:r>
      <w:r>
        <w:rPr>
          <w:rFonts w:ascii="Times New Roman" w:hAnsi="Times New Roman" w:cs="Times New Roman"/>
          <w:sz w:val="24"/>
          <w:szCs w:val="24"/>
          <w:lang w:val="ru-RU"/>
        </w:rPr>
        <w:t>федеральных стандартах и</w:t>
      </w:r>
      <w:r>
        <w:rPr>
          <w:rFonts w:ascii="Times New Roman" w:hAnsi="Times New Roman" w:cs="Times New Roman"/>
          <w:sz w:val="24"/>
          <w:szCs w:val="24"/>
        </w:rPr>
        <w:t> </w:t>
      </w:r>
      <w:r>
        <w:rPr>
          <w:rFonts w:ascii="Times New Roman" w:hAnsi="Times New Roman" w:cs="Times New Roman"/>
          <w:sz w:val="24"/>
          <w:szCs w:val="24"/>
          <w:lang w:val="ru-RU"/>
        </w:rPr>
        <w:t>других нормативно-правовых актах, регулирующих бухучет, метод определения справедливой стоимости выбирает комиссия Суда по</w:t>
      </w:r>
      <w:r>
        <w:rPr>
          <w:rFonts w:ascii="Times New Roman" w:hAnsi="Times New Roman" w:cs="Times New Roman"/>
          <w:sz w:val="24"/>
          <w:szCs w:val="24"/>
        </w:rPr>
        <w:t> </w:t>
      </w:r>
      <w:r>
        <w:rPr>
          <w:rFonts w:ascii="Times New Roman" w:hAnsi="Times New Roman" w:cs="Times New Roman"/>
          <w:sz w:val="24"/>
          <w:szCs w:val="24"/>
          <w:lang w:val="ru-RU"/>
        </w:rPr>
        <w:t>поступлению и</w:t>
      </w:r>
      <w:r>
        <w:rPr>
          <w:rFonts w:ascii="Times New Roman" w:hAnsi="Times New Roman" w:cs="Times New Roman"/>
          <w:sz w:val="24"/>
          <w:szCs w:val="24"/>
        </w:rPr>
        <w:t> </w:t>
      </w:r>
      <w:r>
        <w:rPr>
          <w:rFonts w:ascii="Times New Roman" w:hAnsi="Times New Roman" w:cs="Times New Roman"/>
          <w:sz w:val="24"/>
          <w:szCs w:val="24"/>
          <w:lang w:val="ru-RU"/>
        </w:rPr>
        <w:t>выбытию активов. Основание: пункт</w:t>
      </w:r>
      <w:r>
        <w:rPr>
          <w:rFonts w:ascii="Times New Roman" w:hAnsi="Times New Roman" w:cs="Times New Roman"/>
          <w:sz w:val="24"/>
          <w:szCs w:val="24"/>
        </w:rPr>
        <w:t> </w:t>
      </w:r>
      <w:r>
        <w:rPr>
          <w:rFonts w:ascii="Times New Roman" w:hAnsi="Times New Roman" w:cs="Times New Roman"/>
          <w:sz w:val="24"/>
          <w:szCs w:val="24"/>
          <w:lang w:val="ru-RU"/>
        </w:rPr>
        <w:t>54</w:t>
      </w:r>
      <w:r>
        <w:rPr>
          <w:rFonts w:ascii="Times New Roman" w:hAnsi="Times New Roman" w:cs="Times New Roman"/>
          <w:sz w:val="24"/>
          <w:szCs w:val="24"/>
        </w:rPr>
        <w:t> </w:t>
      </w:r>
      <w:r>
        <w:rPr>
          <w:rFonts w:ascii="Times New Roman" w:hAnsi="Times New Roman" w:cs="Times New Roman"/>
          <w:sz w:val="24"/>
          <w:szCs w:val="24"/>
          <w:lang w:val="ru-RU"/>
        </w:rPr>
        <w:t>СГС «Концептуальные основы бухучета и</w:t>
      </w:r>
      <w:r>
        <w:rPr>
          <w:rFonts w:ascii="Times New Roman" w:hAnsi="Times New Roman" w:cs="Times New Roman"/>
          <w:sz w:val="24"/>
          <w:szCs w:val="24"/>
        </w:rPr>
        <w:t> </w:t>
      </w:r>
      <w:r>
        <w:rPr>
          <w:rFonts w:ascii="Times New Roman" w:hAnsi="Times New Roman" w:cs="Times New Roman"/>
          <w:sz w:val="24"/>
          <w:szCs w:val="24"/>
          <w:lang w:val="ru-RU"/>
        </w:rPr>
        <w:t>отчетности».</w:t>
      </w:r>
    </w:p>
    <w:p>
      <w:pPr>
        <w:spacing w:after="0" w:line="240" w:lineRule="auto"/>
        <w:ind w:firstLine="567"/>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В</w:t>
      </w:r>
      <w:r>
        <w:rPr>
          <w:rFonts w:ascii="Times New Roman" w:hAnsi="Times New Roman" w:cs="Times New Roman"/>
          <w:sz w:val="24"/>
          <w:szCs w:val="24"/>
        </w:rPr>
        <w:t> </w:t>
      </w:r>
      <w:r>
        <w:rPr>
          <w:rFonts w:ascii="Times New Roman" w:hAnsi="Times New Roman" w:cs="Times New Roman"/>
          <w:sz w:val="24"/>
          <w:szCs w:val="24"/>
          <w:lang w:val="ru-RU"/>
        </w:rPr>
        <w:t>случае если для показателя, необходимого для ведения бухгалтерского учета, не</w:t>
      </w:r>
      <w:r>
        <w:rPr>
          <w:rFonts w:ascii="Times New Roman" w:hAnsi="Times New Roman" w:cs="Times New Roman"/>
          <w:sz w:val="24"/>
          <w:szCs w:val="24"/>
        </w:rPr>
        <w:t> </w:t>
      </w:r>
      <w:r>
        <w:rPr>
          <w:rFonts w:ascii="Times New Roman" w:hAnsi="Times New Roman" w:cs="Times New Roman"/>
          <w:sz w:val="24"/>
          <w:szCs w:val="24"/>
          <w:lang w:val="ru-RU"/>
        </w:rPr>
        <w:t>установлен метод оценки в</w:t>
      </w:r>
      <w:r>
        <w:rPr>
          <w:rFonts w:ascii="Times New Roman" w:hAnsi="Times New Roman" w:cs="Times New Roman"/>
          <w:sz w:val="24"/>
          <w:szCs w:val="24"/>
        </w:rPr>
        <w:t> </w:t>
      </w:r>
      <w:r>
        <w:rPr>
          <w:rFonts w:ascii="Times New Roman" w:hAnsi="Times New Roman" w:cs="Times New Roman"/>
          <w:sz w:val="24"/>
          <w:szCs w:val="24"/>
          <w:lang w:val="ru-RU"/>
        </w:rPr>
        <w:t>законодательстве и</w:t>
      </w:r>
      <w:r>
        <w:rPr>
          <w:rFonts w:ascii="Times New Roman" w:hAnsi="Times New Roman" w:cs="Times New Roman"/>
          <w:sz w:val="24"/>
          <w:szCs w:val="24"/>
        </w:rPr>
        <w:t> </w:t>
      </w:r>
      <w:r>
        <w:rPr>
          <w:rFonts w:ascii="Times New Roman" w:hAnsi="Times New Roman" w:cs="Times New Roman"/>
          <w:sz w:val="24"/>
          <w:szCs w:val="24"/>
          <w:lang w:val="ru-RU"/>
        </w:rPr>
        <w:t>в</w:t>
      </w:r>
      <w:r>
        <w:rPr>
          <w:rFonts w:ascii="Times New Roman" w:hAnsi="Times New Roman" w:cs="Times New Roman"/>
          <w:sz w:val="24"/>
          <w:szCs w:val="24"/>
        </w:rPr>
        <w:t> </w:t>
      </w:r>
      <w:r>
        <w:rPr>
          <w:rFonts w:ascii="Times New Roman" w:hAnsi="Times New Roman" w:cs="Times New Roman"/>
          <w:sz w:val="24"/>
          <w:szCs w:val="24"/>
          <w:lang w:val="ru-RU"/>
        </w:rPr>
        <w:t>настоящей учетной политике, то</w:t>
      </w:r>
      <w:r>
        <w:rPr>
          <w:rFonts w:ascii="Times New Roman" w:hAnsi="Times New Roman" w:cs="Times New Roman"/>
          <w:sz w:val="24"/>
          <w:szCs w:val="24"/>
        </w:rPr>
        <w:t> </w:t>
      </w:r>
      <w:r>
        <w:rPr>
          <w:rFonts w:ascii="Times New Roman" w:hAnsi="Times New Roman" w:cs="Times New Roman"/>
          <w:sz w:val="24"/>
          <w:szCs w:val="24"/>
          <w:lang w:val="ru-RU"/>
        </w:rPr>
        <w:t>величина оценочного показателя определяется профессиональным суждением главного бухгалтера. Основание: пункт</w:t>
      </w:r>
      <w:r>
        <w:rPr>
          <w:rFonts w:ascii="Times New Roman" w:hAnsi="Times New Roman" w:cs="Times New Roman"/>
          <w:sz w:val="24"/>
          <w:szCs w:val="24"/>
        </w:rPr>
        <w:t> </w:t>
      </w:r>
      <w:r>
        <w:rPr>
          <w:rFonts w:ascii="Times New Roman" w:hAnsi="Times New Roman" w:cs="Times New Roman"/>
          <w:sz w:val="24"/>
          <w:szCs w:val="24"/>
          <w:lang w:val="ru-RU"/>
        </w:rPr>
        <w:t>6</w:t>
      </w:r>
      <w:r>
        <w:rPr>
          <w:rFonts w:ascii="Times New Roman" w:hAnsi="Times New Roman" w:cs="Times New Roman"/>
          <w:sz w:val="24"/>
          <w:szCs w:val="24"/>
        </w:rPr>
        <w:t> </w:t>
      </w:r>
      <w:r>
        <w:rPr>
          <w:rFonts w:ascii="Times New Roman" w:hAnsi="Times New Roman" w:cs="Times New Roman"/>
          <w:sz w:val="24"/>
          <w:szCs w:val="24"/>
          <w:lang w:val="ru-RU"/>
        </w:rPr>
        <w:t>СГС «Учетная политика, оценочные значения и</w:t>
      </w:r>
      <w:r>
        <w:rPr>
          <w:rFonts w:ascii="Times New Roman" w:hAnsi="Times New Roman" w:cs="Times New Roman"/>
          <w:sz w:val="24"/>
          <w:szCs w:val="24"/>
        </w:rPr>
        <w:t> </w:t>
      </w:r>
      <w:r>
        <w:rPr>
          <w:rFonts w:ascii="Times New Roman" w:hAnsi="Times New Roman" w:cs="Times New Roman"/>
          <w:sz w:val="24"/>
          <w:szCs w:val="24"/>
          <w:lang w:val="ru-RU"/>
        </w:rPr>
        <w:t>ошибки».</w:t>
      </w:r>
    </w:p>
    <w:p>
      <w:pPr>
        <w:jc w:val="both"/>
        <w:rPr>
          <w:rFonts w:ascii="Times New Roman" w:hAnsi="Times New Roman" w:cs="Times New Roman"/>
          <w:b/>
          <w:bCs/>
          <w:sz w:val="24"/>
          <w:szCs w:val="24"/>
          <w:lang w:val="ru-RU"/>
        </w:rPr>
      </w:pPr>
    </w:p>
    <w:p>
      <w:pPr>
        <w:jc w:val="center"/>
        <w:rPr>
          <w:rFonts w:ascii="Times New Roman" w:hAnsi="Times New Roman" w:cs="Times New Roman"/>
          <w:b/>
          <w:bCs/>
          <w:sz w:val="24"/>
          <w:szCs w:val="24"/>
          <w:lang w:val="ru-RU"/>
        </w:rPr>
      </w:pPr>
      <w:r>
        <w:rPr>
          <w:rFonts w:ascii="Times New Roman" w:hAnsi="Times New Roman" w:cs="Times New Roman"/>
          <w:b/>
          <w:bCs/>
          <w:sz w:val="24"/>
          <w:szCs w:val="24"/>
          <w:lang w:val="ru-RU"/>
        </w:rPr>
        <w:t>Основные средства</w:t>
      </w:r>
    </w:p>
    <w:p>
      <w:pPr>
        <w:spacing w:after="0" w:line="240" w:lineRule="auto"/>
        <w:ind w:firstLine="567"/>
        <w:jc w:val="both"/>
        <w:rPr>
          <w:rFonts w:ascii="Times New Roman" w:hAnsi="Times New Roman" w:cs="Times New Roman"/>
          <w:color w:val="auto"/>
          <w:sz w:val="24"/>
          <w:szCs w:val="24"/>
          <w:lang w:val="ru-RU"/>
        </w:rPr>
      </w:pPr>
      <w:r>
        <w:rPr>
          <w:rFonts w:ascii="Times New Roman" w:hAnsi="Times New Roman" w:cs="Times New Roman"/>
          <w:color w:val="auto"/>
          <w:sz w:val="24"/>
          <w:szCs w:val="24"/>
          <w:lang w:val="ru-RU"/>
        </w:rPr>
        <w:t>В составе основных средств учитываются являющиеся активами материальные объекты имущества, используемые в процессе деятельности Суда при выполнении работ или оказании услуг либо для управленческих нужд Суда, независимо от их стоимости со сроком полезного использования более 12 месяцев, а также инвентарь. К  производственному и хозяйственному инвентарю относятся предметы конторского и хозяйственного пользования, непосредственно используемые в производственном процессе.</w:t>
      </w:r>
    </w:p>
    <w:p>
      <w:pPr>
        <w:spacing w:after="0" w:line="240" w:lineRule="auto"/>
        <w:ind w:firstLine="567"/>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В один инвентарный объект, признаваемый комплексом объектов основных средств, объединяются объекты имущества несущественной стоимости, имеющие одинаковые сроки полезного и ожидаемого использования.</w:t>
      </w:r>
    </w:p>
    <w:p>
      <w:pPr>
        <w:spacing w:after="0" w:line="240" w:lineRule="auto"/>
        <w:ind w:firstLine="567"/>
        <w:jc w:val="both"/>
        <w:rPr>
          <w:rFonts w:ascii="Times New Roman" w:hAnsi="Times New Roman" w:cs="Times New Roman"/>
          <w:sz w:val="24"/>
          <w:szCs w:val="24"/>
          <w:lang w:val="ru-RU"/>
        </w:rPr>
      </w:pPr>
      <w:r>
        <w:rPr>
          <w:rFonts w:ascii="Times New Roman" w:hAnsi="Times New Roman" w:cs="Times New Roman"/>
          <w:sz w:val="24"/>
          <w:szCs w:val="24"/>
          <w:lang w:val="ru-RU"/>
        </w:rPr>
        <w:t>Начисление амортизации на все объекты основных средств осуществляется линейным методом в соответствии со сроками полезного использования.</w:t>
      </w:r>
    </w:p>
    <w:p>
      <w:pPr>
        <w:spacing w:after="0" w:line="240" w:lineRule="auto"/>
        <w:ind w:firstLine="567"/>
        <w:jc w:val="both"/>
        <w:rPr>
          <w:rFonts w:ascii="Times New Roman" w:hAnsi="Times New Roman" w:cs="Times New Roman"/>
          <w:sz w:val="24"/>
          <w:szCs w:val="24"/>
          <w:lang w:val="ru-RU"/>
        </w:rPr>
      </w:pPr>
      <w:r>
        <w:rPr>
          <w:rFonts w:ascii="Times New Roman" w:hAnsi="Times New Roman" w:cs="Times New Roman"/>
          <w:sz w:val="24"/>
          <w:szCs w:val="24"/>
          <w:lang w:val="ru-RU"/>
        </w:rPr>
        <w:t>Переоценка основных сре</w:t>
      </w:r>
      <w:proofErr w:type="gramStart"/>
      <w:r>
        <w:rPr>
          <w:rFonts w:ascii="Times New Roman" w:hAnsi="Times New Roman" w:cs="Times New Roman"/>
          <w:sz w:val="24"/>
          <w:szCs w:val="24"/>
          <w:lang w:val="ru-RU"/>
        </w:rPr>
        <w:t>дств пр</w:t>
      </w:r>
      <w:proofErr w:type="gramEnd"/>
      <w:r>
        <w:rPr>
          <w:rFonts w:ascii="Times New Roman" w:hAnsi="Times New Roman" w:cs="Times New Roman"/>
          <w:sz w:val="24"/>
          <w:szCs w:val="24"/>
          <w:lang w:val="ru-RU"/>
        </w:rPr>
        <w:t>оизводится в сроки и в порядке, устанавливаемые Правительством РФ. При переоценке объекта основных средств накопленная амортизация на дату переоценки пересчитывается пропорционально изменению первоначальной стоимости объекта таким образом, чтобы его остаточная стоимость после переоценки равнялась его переоцененной стоимости. При этом балансовая стоимость и накопленная амортизация увеличиваются (умножаются) на одинаковый коэффициент таким образом, чтобы при их суммировании получить переоцененную стоимость на дату проведения переоценки.</w:t>
      </w:r>
    </w:p>
    <w:p>
      <w:pPr>
        <w:spacing w:after="0" w:line="240" w:lineRule="auto"/>
        <w:ind w:firstLine="567"/>
        <w:jc w:val="both"/>
        <w:rPr>
          <w:rFonts w:ascii="Times New Roman" w:hAnsi="Times New Roman" w:cs="Times New Roman"/>
          <w:sz w:val="24"/>
          <w:szCs w:val="24"/>
          <w:lang w:val="ru-RU"/>
        </w:rPr>
      </w:pPr>
      <w:r>
        <w:rPr>
          <w:rFonts w:ascii="Times New Roman" w:hAnsi="Times New Roman" w:cs="Times New Roman"/>
          <w:sz w:val="24"/>
          <w:szCs w:val="24"/>
          <w:lang w:val="ru-RU"/>
        </w:rPr>
        <w:t>Основание: пункты 36,37,</w:t>
      </w:r>
      <w:r>
        <w:rPr>
          <w:rFonts w:ascii="Times New Roman" w:hAnsi="Times New Roman" w:cs="Times New Roman"/>
          <w:sz w:val="24"/>
          <w:szCs w:val="24"/>
        </w:rPr>
        <w:t> </w:t>
      </w:r>
      <w:r>
        <w:rPr>
          <w:rFonts w:ascii="Times New Roman" w:hAnsi="Times New Roman" w:cs="Times New Roman"/>
          <w:sz w:val="24"/>
          <w:szCs w:val="24"/>
          <w:lang w:val="ru-RU"/>
        </w:rPr>
        <w:t>41</w:t>
      </w:r>
      <w:r>
        <w:rPr>
          <w:rFonts w:ascii="Times New Roman" w:hAnsi="Times New Roman" w:cs="Times New Roman"/>
          <w:sz w:val="24"/>
          <w:szCs w:val="24"/>
        </w:rPr>
        <w:t> </w:t>
      </w:r>
      <w:r>
        <w:rPr>
          <w:rFonts w:ascii="Times New Roman" w:hAnsi="Times New Roman" w:cs="Times New Roman"/>
          <w:sz w:val="24"/>
          <w:szCs w:val="24"/>
          <w:lang w:val="ru-RU"/>
        </w:rPr>
        <w:t>СГС «Основные средства».</w:t>
      </w:r>
    </w:p>
    <w:p>
      <w:pPr>
        <w:spacing w:after="0" w:line="240" w:lineRule="auto"/>
        <w:ind w:firstLine="567"/>
        <w:jc w:val="both"/>
        <w:rPr>
          <w:rFonts w:ascii="Times New Roman" w:hAnsi="Times New Roman" w:cs="Times New Roman"/>
          <w:sz w:val="24"/>
          <w:szCs w:val="24"/>
          <w:lang w:val="ru-RU"/>
        </w:rPr>
      </w:pPr>
      <w:r>
        <w:rPr>
          <w:rFonts w:ascii="Times New Roman" w:hAnsi="Times New Roman" w:cs="Times New Roman"/>
          <w:sz w:val="24"/>
          <w:szCs w:val="24"/>
          <w:lang w:val="ru-RU"/>
        </w:rPr>
        <w:t>Срок полезного использования объектов основных средств устанавливает комиссия по поступлению и выбытию активов в соответствии с пунктом 35 СГС «Основные средства». Состав комиссии по поступлению и выбытию активов устанавливается приказом председателя суда.</w:t>
      </w:r>
    </w:p>
    <w:p>
      <w:pPr>
        <w:spacing w:after="0" w:line="240" w:lineRule="auto"/>
        <w:ind w:firstLine="567"/>
        <w:jc w:val="both"/>
        <w:rPr>
          <w:rFonts w:ascii="Times New Roman" w:hAnsi="Times New Roman" w:cs="Times New Roman"/>
          <w:sz w:val="24"/>
          <w:szCs w:val="24"/>
          <w:lang w:val="ru-RU"/>
        </w:rPr>
      </w:pPr>
      <w:r>
        <w:rPr>
          <w:rFonts w:ascii="Times New Roman" w:hAnsi="Times New Roman" w:cs="Times New Roman"/>
          <w:sz w:val="24"/>
          <w:szCs w:val="24"/>
          <w:lang w:val="ru-RU"/>
        </w:rPr>
        <w:t>Расходы на доставку нескольких имущественных объектов распределяются в первоначальную стоимость этих объектов пропорционально их стоимости, указанной в договоре поставки.</w:t>
      </w:r>
    </w:p>
    <w:p>
      <w:pPr>
        <w:spacing w:after="0" w:line="240" w:lineRule="auto"/>
        <w:ind w:firstLine="567"/>
        <w:jc w:val="both"/>
        <w:rPr>
          <w:rFonts w:ascii="Times New Roman" w:hAnsi="Times New Roman" w:cs="Times New Roman"/>
          <w:sz w:val="24"/>
          <w:szCs w:val="24"/>
          <w:lang w:val="ru-RU"/>
        </w:rPr>
      </w:pPr>
      <w:r>
        <w:rPr>
          <w:rFonts w:ascii="Times New Roman" w:hAnsi="Times New Roman" w:cs="Times New Roman"/>
          <w:sz w:val="24"/>
          <w:szCs w:val="24"/>
          <w:lang w:val="ru-RU"/>
        </w:rPr>
        <w:t>Ответственными за хранение технической документации на объекты основных средств являются ответственные лица, за которыми закреплены объекты.</w:t>
      </w:r>
    </w:p>
    <w:p>
      <w:pPr>
        <w:spacing w:after="0" w:line="240" w:lineRule="auto"/>
        <w:ind w:firstLine="567"/>
        <w:jc w:val="both"/>
        <w:rPr>
          <w:rFonts w:ascii="Times New Roman" w:hAnsi="Times New Roman" w:cs="Times New Roman"/>
          <w:sz w:val="24"/>
          <w:szCs w:val="24"/>
          <w:lang w:val="ru-RU"/>
        </w:rPr>
      </w:pPr>
    </w:p>
    <w:p>
      <w:pPr>
        <w:spacing w:after="0" w:line="240" w:lineRule="auto"/>
        <w:ind w:firstLine="567"/>
        <w:jc w:val="both"/>
        <w:rPr>
          <w:rFonts w:ascii="Times New Roman" w:hAnsi="Times New Roman" w:cs="Times New Roman"/>
          <w:sz w:val="24"/>
          <w:szCs w:val="24"/>
          <w:lang w:val="ru-RU"/>
        </w:rPr>
      </w:pPr>
    </w:p>
    <w:p>
      <w:pPr>
        <w:spacing w:after="0" w:line="240" w:lineRule="auto"/>
        <w:ind w:firstLine="567"/>
        <w:jc w:val="center"/>
        <w:rPr>
          <w:rFonts w:ascii="Times New Roman" w:hAnsi="Times New Roman" w:cs="Times New Roman"/>
          <w:b/>
          <w:bCs/>
          <w:sz w:val="24"/>
          <w:szCs w:val="24"/>
          <w:lang w:val="ru-RU"/>
        </w:rPr>
      </w:pPr>
      <w:r>
        <w:rPr>
          <w:rFonts w:ascii="Times New Roman" w:hAnsi="Times New Roman" w:cs="Times New Roman"/>
          <w:b/>
          <w:bCs/>
          <w:sz w:val="24"/>
          <w:szCs w:val="24"/>
          <w:lang w:val="ru-RU"/>
        </w:rPr>
        <w:t>Нематериальные активы</w:t>
      </w:r>
    </w:p>
    <w:p>
      <w:pPr>
        <w:spacing w:after="0" w:line="240" w:lineRule="auto"/>
        <w:ind w:firstLine="567"/>
        <w:rPr>
          <w:rFonts w:ascii="Times New Roman" w:hAnsi="Times New Roman" w:cs="Times New Roman"/>
          <w:b/>
          <w:bCs/>
          <w:sz w:val="24"/>
          <w:szCs w:val="24"/>
          <w:lang w:val="ru-RU"/>
        </w:rPr>
      </w:pPr>
    </w:p>
    <w:p>
      <w:pPr>
        <w:spacing w:after="0" w:line="240" w:lineRule="auto"/>
        <w:ind w:firstLine="567"/>
        <w:jc w:val="both"/>
        <w:rPr>
          <w:rFonts w:ascii="Times New Roman" w:hAnsi="Times New Roman" w:cs="Times New Roman"/>
          <w:sz w:val="24"/>
          <w:szCs w:val="24"/>
          <w:lang w:val="ru-RU"/>
        </w:rPr>
      </w:pPr>
      <w:r>
        <w:rPr>
          <w:rFonts w:ascii="Times New Roman" w:hAnsi="Times New Roman" w:cs="Times New Roman"/>
          <w:sz w:val="24"/>
          <w:szCs w:val="24"/>
          <w:lang w:val="ru-RU"/>
        </w:rPr>
        <w:t>Начисление амортизации нематериальных активов производится линейным способом в соответствии со сроками полезного использования. Основание: пункты 30, 31</w:t>
      </w:r>
      <w:r>
        <w:rPr>
          <w:rFonts w:ascii="Times New Roman" w:hAnsi="Times New Roman" w:cs="Times New Roman"/>
          <w:sz w:val="24"/>
          <w:szCs w:val="24"/>
        </w:rPr>
        <w:t> </w:t>
      </w:r>
      <w:r>
        <w:rPr>
          <w:rFonts w:ascii="Times New Roman" w:hAnsi="Times New Roman" w:cs="Times New Roman"/>
          <w:sz w:val="24"/>
          <w:szCs w:val="24"/>
          <w:lang w:val="ru-RU"/>
        </w:rPr>
        <w:t>СГС «Нематериальные активы».</w:t>
      </w:r>
    </w:p>
    <w:p>
      <w:pPr>
        <w:spacing w:after="0" w:line="240" w:lineRule="auto"/>
        <w:ind w:firstLine="567"/>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Срок полезного использования нематериальных активов устанавливается комиссией по поступлению и выбытию активов, исходя </w:t>
      </w:r>
      <w:proofErr w:type="gramStart"/>
      <w:r>
        <w:rPr>
          <w:rFonts w:ascii="Times New Roman" w:hAnsi="Times New Roman" w:cs="Times New Roman"/>
          <w:sz w:val="24"/>
          <w:szCs w:val="24"/>
          <w:lang w:val="ru-RU"/>
        </w:rPr>
        <w:t>из</w:t>
      </w:r>
      <w:proofErr w:type="gramEnd"/>
      <w:r>
        <w:rPr>
          <w:rFonts w:ascii="Times New Roman" w:hAnsi="Times New Roman" w:cs="Times New Roman"/>
          <w:sz w:val="24"/>
          <w:szCs w:val="24"/>
          <w:lang w:val="ru-RU"/>
        </w:rPr>
        <w:t>:</w:t>
      </w:r>
    </w:p>
    <w:p>
      <w:pPr>
        <w:spacing w:after="0" w:line="240" w:lineRule="auto"/>
        <w:ind w:firstLine="567"/>
        <w:jc w:val="both"/>
        <w:rPr>
          <w:rFonts w:ascii="Times New Roman" w:hAnsi="Times New Roman" w:cs="Times New Roman"/>
          <w:sz w:val="24"/>
          <w:szCs w:val="24"/>
          <w:lang w:val="ru-RU"/>
        </w:rPr>
      </w:pPr>
      <w:r>
        <w:rPr>
          <w:rFonts w:ascii="Times New Roman" w:hAnsi="Times New Roman" w:cs="Times New Roman"/>
          <w:sz w:val="24"/>
          <w:szCs w:val="24"/>
          <w:lang w:val="ru-RU"/>
        </w:rPr>
        <w:t>- срока, в течение которого Суду будут принадлежать исключительные права на объект. Этот срок указывается в охранных документах (патентах, свидетельствах         и т. п.), или он следует из закона;</w:t>
      </w:r>
    </w:p>
    <w:p>
      <w:pPr>
        <w:spacing w:after="0" w:line="240" w:lineRule="auto"/>
        <w:ind w:firstLine="567"/>
        <w:jc w:val="both"/>
        <w:rPr>
          <w:rFonts w:ascii="Times New Roman" w:hAnsi="Times New Roman" w:cs="Times New Roman"/>
          <w:sz w:val="24"/>
          <w:szCs w:val="24"/>
          <w:lang w:val="ru-RU"/>
        </w:rPr>
      </w:pPr>
      <w:r>
        <w:rPr>
          <w:rFonts w:ascii="Times New Roman" w:hAnsi="Times New Roman" w:cs="Times New Roman"/>
          <w:sz w:val="24"/>
          <w:szCs w:val="24"/>
          <w:lang w:val="ru-RU"/>
        </w:rPr>
        <w:t>- срока, в течение которого Суд планирует использовать объе</w:t>
      </w:r>
      <w:proofErr w:type="gramStart"/>
      <w:r>
        <w:rPr>
          <w:rFonts w:ascii="Times New Roman" w:hAnsi="Times New Roman" w:cs="Times New Roman"/>
          <w:sz w:val="24"/>
          <w:szCs w:val="24"/>
          <w:lang w:val="ru-RU"/>
        </w:rPr>
        <w:t>кт в св</w:t>
      </w:r>
      <w:proofErr w:type="gramEnd"/>
      <w:r>
        <w:rPr>
          <w:rFonts w:ascii="Times New Roman" w:hAnsi="Times New Roman" w:cs="Times New Roman"/>
          <w:sz w:val="24"/>
          <w:szCs w:val="24"/>
          <w:lang w:val="ru-RU"/>
        </w:rPr>
        <w:t>оей деятельности;</w:t>
      </w:r>
    </w:p>
    <w:p>
      <w:pPr>
        <w:autoSpaceDE w:val="0"/>
        <w:autoSpaceDN w:val="0"/>
        <w:adjustRightInd w:val="0"/>
        <w:spacing w:after="0" w:line="240" w:lineRule="auto"/>
        <w:ind w:firstLine="567"/>
        <w:jc w:val="both"/>
        <w:rPr>
          <w:rFonts w:ascii="Times New Roman" w:hAnsi="Times New Roman" w:cs="Times New Roman"/>
          <w:sz w:val="24"/>
          <w:szCs w:val="24"/>
          <w:lang w:val="ru-RU"/>
        </w:rPr>
      </w:pPr>
      <w:r>
        <w:rPr>
          <w:rFonts w:ascii="Times New Roman" w:hAnsi="Times New Roman" w:cs="Times New Roman"/>
          <w:sz w:val="24"/>
          <w:szCs w:val="24"/>
          <w:lang w:val="ru-RU"/>
        </w:rPr>
        <w:t>- срока полезного использования непосредственно связанного с ним иного актива.</w:t>
      </w:r>
    </w:p>
    <w:p>
      <w:pPr>
        <w:spacing w:after="0" w:line="240" w:lineRule="auto"/>
        <w:ind w:firstLine="567"/>
        <w:jc w:val="both"/>
        <w:rPr>
          <w:rFonts w:ascii="Times New Roman" w:hAnsi="Times New Roman" w:cs="Times New Roman"/>
          <w:sz w:val="24"/>
          <w:szCs w:val="24"/>
          <w:lang w:val="ru-RU"/>
        </w:rPr>
      </w:pPr>
      <w:r>
        <w:rPr>
          <w:rFonts w:ascii="Times New Roman" w:hAnsi="Times New Roman" w:cs="Times New Roman"/>
          <w:sz w:val="24"/>
          <w:szCs w:val="24"/>
          <w:lang w:val="ru-RU"/>
        </w:rPr>
        <w:t>Продолжительность периода, в течение которого предполагается использовать НМА, ежегодно определяется Комиссией по поступлению и выбытию активов.</w:t>
      </w:r>
    </w:p>
    <w:p>
      <w:pPr>
        <w:spacing w:after="0" w:line="240" w:lineRule="auto"/>
        <w:ind w:firstLine="567"/>
        <w:jc w:val="both"/>
        <w:rPr>
          <w:rFonts w:ascii="Times New Roman" w:hAnsi="Times New Roman" w:cs="Times New Roman"/>
          <w:sz w:val="24"/>
          <w:szCs w:val="24"/>
          <w:lang w:val="ru-RU"/>
        </w:rPr>
      </w:pPr>
    </w:p>
    <w:p>
      <w:pPr>
        <w:spacing w:after="0" w:line="240" w:lineRule="auto"/>
        <w:ind w:firstLine="567"/>
        <w:jc w:val="center"/>
        <w:rPr>
          <w:rFonts w:ascii="Times New Roman" w:hAnsi="Times New Roman" w:cs="Times New Roman"/>
          <w:sz w:val="24"/>
          <w:szCs w:val="24"/>
          <w:lang w:val="ru-RU"/>
        </w:rPr>
      </w:pPr>
    </w:p>
    <w:p>
      <w:pPr>
        <w:spacing w:after="0" w:line="240" w:lineRule="auto"/>
        <w:ind w:firstLine="567"/>
        <w:jc w:val="center"/>
        <w:rPr>
          <w:rFonts w:ascii="Times New Roman" w:hAnsi="Times New Roman" w:cs="Times New Roman"/>
          <w:b/>
          <w:bCs/>
          <w:sz w:val="24"/>
          <w:szCs w:val="24"/>
          <w:lang w:val="ru-RU"/>
        </w:rPr>
      </w:pPr>
      <w:r>
        <w:rPr>
          <w:rFonts w:ascii="Times New Roman" w:hAnsi="Times New Roman" w:cs="Times New Roman"/>
          <w:b/>
          <w:bCs/>
          <w:sz w:val="24"/>
          <w:szCs w:val="24"/>
          <w:lang w:val="ru-RU"/>
        </w:rPr>
        <w:t>Непроизведенные активы</w:t>
      </w:r>
    </w:p>
    <w:p>
      <w:pPr>
        <w:spacing w:after="0" w:line="240" w:lineRule="auto"/>
        <w:ind w:firstLine="567"/>
        <w:jc w:val="center"/>
        <w:rPr>
          <w:rFonts w:ascii="Times New Roman" w:hAnsi="Times New Roman" w:cs="Times New Roman"/>
          <w:b/>
          <w:bCs/>
          <w:sz w:val="24"/>
          <w:szCs w:val="24"/>
          <w:lang w:val="ru-RU"/>
        </w:rPr>
      </w:pPr>
    </w:p>
    <w:p>
      <w:pPr>
        <w:spacing w:after="0" w:line="240" w:lineRule="auto"/>
        <w:ind w:firstLine="567"/>
        <w:jc w:val="both"/>
        <w:rPr>
          <w:rFonts w:ascii="Times New Roman" w:hAnsi="Times New Roman" w:cs="Times New Roman"/>
          <w:sz w:val="24"/>
          <w:szCs w:val="24"/>
          <w:lang w:val="ru-RU"/>
        </w:rPr>
      </w:pPr>
      <w:r>
        <w:rPr>
          <w:rFonts w:ascii="Times New Roman" w:hAnsi="Times New Roman" w:cs="Times New Roman"/>
          <w:sz w:val="24"/>
          <w:szCs w:val="24"/>
          <w:lang w:val="ru-RU"/>
        </w:rPr>
        <w:t>К непроизведенным активам относится земля, вещное право на которую закреплено за Судом.</w:t>
      </w:r>
    </w:p>
    <w:p>
      <w:pPr>
        <w:spacing w:after="0" w:line="240" w:lineRule="auto"/>
        <w:ind w:firstLine="567"/>
        <w:jc w:val="both"/>
        <w:rPr>
          <w:rFonts w:ascii="Times New Roman" w:hAnsi="Times New Roman" w:cs="Times New Roman"/>
          <w:sz w:val="24"/>
          <w:szCs w:val="24"/>
          <w:lang w:val="ru-RU"/>
        </w:rPr>
      </w:pPr>
      <w:r>
        <w:rPr>
          <w:rFonts w:ascii="Times New Roman" w:hAnsi="Times New Roman" w:cs="Times New Roman"/>
          <w:sz w:val="24"/>
          <w:szCs w:val="24"/>
          <w:lang w:val="ru-RU"/>
        </w:rPr>
        <w:t>Единицей бухгалтерского учета непроизведенных активов является инвентарный объект.</w:t>
      </w:r>
    </w:p>
    <w:p>
      <w:pPr>
        <w:spacing w:after="0" w:line="240" w:lineRule="auto"/>
        <w:ind w:firstLine="567"/>
        <w:jc w:val="both"/>
        <w:rPr>
          <w:rFonts w:ascii="Times New Roman" w:hAnsi="Times New Roman" w:cs="Times New Roman"/>
          <w:sz w:val="24"/>
          <w:szCs w:val="24"/>
          <w:lang w:val="ru-RU"/>
        </w:rPr>
      </w:pPr>
      <w:r>
        <w:rPr>
          <w:rFonts w:ascii="Times New Roman" w:hAnsi="Times New Roman" w:cs="Times New Roman"/>
          <w:sz w:val="24"/>
          <w:szCs w:val="24"/>
          <w:lang w:val="ru-RU"/>
        </w:rPr>
        <w:t>В целях организации и ведения аналитического учета каждому инвентарному объекту непроизведенных активов присваивается уникальный инвентарный порядковый номер, который используется исключительно в регистрах бухгалтерского учета. Инвентарный номер, присвоенный объекту непроизведенных активов, сохраняется за ним на весь период его учета.</w:t>
      </w:r>
    </w:p>
    <w:p>
      <w:pPr>
        <w:spacing w:after="0" w:line="240" w:lineRule="auto"/>
        <w:ind w:firstLine="567"/>
        <w:rPr>
          <w:rFonts w:ascii="Times New Roman" w:hAnsi="Times New Roman" w:cs="Times New Roman"/>
          <w:sz w:val="24"/>
          <w:szCs w:val="24"/>
          <w:lang w:val="ru-RU"/>
        </w:rPr>
      </w:pPr>
    </w:p>
    <w:p>
      <w:pPr>
        <w:jc w:val="center"/>
        <w:rPr>
          <w:rFonts w:ascii="Times New Roman" w:hAnsi="Times New Roman" w:cs="Times New Roman"/>
          <w:b/>
          <w:bCs/>
          <w:sz w:val="24"/>
          <w:szCs w:val="24"/>
          <w:lang w:val="ru-RU"/>
        </w:rPr>
      </w:pPr>
      <w:r>
        <w:rPr>
          <w:rFonts w:ascii="Times New Roman" w:hAnsi="Times New Roman" w:cs="Times New Roman"/>
          <w:b/>
          <w:bCs/>
          <w:sz w:val="24"/>
          <w:szCs w:val="24"/>
          <w:lang w:val="ru-RU"/>
        </w:rPr>
        <w:t>Материальные запасы</w:t>
      </w:r>
    </w:p>
    <w:p>
      <w:pPr>
        <w:spacing w:after="0" w:line="240" w:lineRule="auto"/>
        <w:ind w:firstLine="567"/>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Учреждение учитывает материальные запасы </w:t>
      </w:r>
      <w:r>
        <w:rPr>
          <w:rFonts w:ascii="Times New Roman" w:hAnsi="Times New Roman" w:cs="Times New Roman"/>
          <w:sz w:val="24"/>
          <w:szCs w:val="24"/>
        </w:rPr>
        <w:t> </w:t>
      </w:r>
      <w:r>
        <w:rPr>
          <w:rFonts w:ascii="Times New Roman" w:hAnsi="Times New Roman" w:cs="Times New Roman"/>
          <w:sz w:val="24"/>
          <w:szCs w:val="24"/>
          <w:lang w:val="ru-RU"/>
        </w:rPr>
        <w:t xml:space="preserve">с разбивкой на аналитические группы по кодам вида синтетического счета. </w:t>
      </w:r>
      <w:r>
        <w:rPr>
          <w:rFonts w:ascii="Times New Roman" w:hAnsi="Times New Roman"/>
          <w:sz w:val="24"/>
          <w:szCs w:val="24"/>
          <w:lang w:val="ru-RU"/>
        </w:rPr>
        <w:t>Единицей бухгалтерского учета материальных запасов является номенклатурная (реестровая) единица.</w:t>
      </w:r>
      <w:r>
        <w:rPr>
          <w:rFonts w:ascii="Times New Roman" w:hAnsi="Times New Roman"/>
          <w:iCs/>
          <w:sz w:val="24"/>
          <w:szCs w:val="24"/>
          <w:lang w:val="ru-RU"/>
        </w:rPr>
        <w:t xml:space="preserve"> Основание: п. 8 СГС "Запасы".</w:t>
      </w:r>
    </w:p>
    <w:p>
      <w:pPr>
        <w:autoSpaceDE w:val="0"/>
        <w:autoSpaceDN w:val="0"/>
        <w:adjustRightInd w:val="0"/>
        <w:spacing w:after="0" w:line="240" w:lineRule="auto"/>
        <w:ind w:firstLine="567"/>
        <w:jc w:val="both"/>
        <w:rPr>
          <w:rFonts w:ascii="Times New Roman" w:hAnsi="Times New Roman"/>
          <w:sz w:val="24"/>
          <w:szCs w:val="24"/>
          <w:lang w:val="ru-RU"/>
        </w:rPr>
      </w:pPr>
      <w:r>
        <w:rPr>
          <w:rFonts w:ascii="Times New Roman" w:hAnsi="Times New Roman"/>
          <w:sz w:val="24"/>
          <w:szCs w:val="24"/>
          <w:lang w:val="ru-RU"/>
        </w:rPr>
        <w:t xml:space="preserve">Оценка материальных запасов при их выбытии осуществляется по фактической стоимости каждой единицы. </w:t>
      </w:r>
      <w:r>
        <w:rPr>
          <w:rFonts w:ascii="Times New Roman" w:hAnsi="Times New Roman"/>
          <w:iCs/>
          <w:sz w:val="24"/>
          <w:szCs w:val="24"/>
          <w:lang w:val="ru-RU"/>
        </w:rPr>
        <w:t>Основание: п. 46 СГС "Концептуальные основы", п. 42 СГС "Запасы"</w:t>
      </w:r>
    </w:p>
    <w:p>
      <w:pPr>
        <w:jc w:val="both"/>
        <w:rPr>
          <w:rFonts w:ascii="Times New Roman" w:hAnsi="Times New Roman" w:cs="Times New Roman"/>
          <w:b/>
          <w:bCs/>
          <w:sz w:val="24"/>
          <w:szCs w:val="24"/>
          <w:lang w:val="ru-RU"/>
        </w:rPr>
      </w:pPr>
    </w:p>
    <w:p>
      <w:pPr>
        <w:pStyle w:val="a3"/>
        <w:numPr>
          <w:ilvl w:val="0"/>
          <w:numId w:val="1"/>
        </w:numPr>
        <w:spacing w:after="0" w:line="240" w:lineRule="auto"/>
        <w:jc w:val="center"/>
        <w:rPr>
          <w:rFonts w:ascii="Times New Roman" w:hAnsi="Times New Roman" w:cs="Times New Roman"/>
          <w:b/>
          <w:sz w:val="24"/>
          <w:szCs w:val="24"/>
        </w:rPr>
      </w:pPr>
      <w:proofErr w:type="spellStart"/>
      <w:r>
        <w:rPr>
          <w:rFonts w:ascii="Times New Roman" w:hAnsi="Times New Roman" w:cs="Times New Roman"/>
          <w:b/>
          <w:bCs/>
          <w:sz w:val="24"/>
          <w:szCs w:val="24"/>
        </w:rPr>
        <w:t>Учет</w:t>
      </w:r>
      <w:proofErr w:type="spellEnd"/>
      <w:r>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на</w:t>
      </w:r>
      <w:proofErr w:type="spellEnd"/>
      <w:r>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забалансовых</w:t>
      </w:r>
      <w:proofErr w:type="spellEnd"/>
      <w:r>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счетах</w:t>
      </w:r>
      <w:proofErr w:type="spellEnd"/>
    </w:p>
    <w:p>
      <w:pPr>
        <w:spacing w:after="0" w:line="240" w:lineRule="auto"/>
        <w:ind w:firstLine="567"/>
        <w:jc w:val="both"/>
        <w:rPr>
          <w:rFonts w:ascii="Times New Roman" w:hAnsi="Times New Roman" w:cs="Times New Roman"/>
          <w:sz w:val="24"/>
          <w:szCs w:val="24"/>
          <w:lang w:val="ru-RU"/>
        </w:rPr>
      </w:pPr>
      <w:r>
        <w:rPr>
          <w:rFonts w:ascii="Times New Roman" w:hAnsi="Times New Roman" w:cs="Times New Roman"/>
          <w:sz w:val="24"/>
          <w:szCs w:val="24"/>
          <w:lang w:val="ru-RU"/>
        </w:rPr>
        <w:t>Бюджетный учет ведется на забалансовых счетах, утвержденных Рабочим планом счетов, по простой системе, т.е. без применения метода двойной записи.</w:t>
      </w:r>
    </w:p>
    <w:p>
      <w:pPr>
        <w:spacing w:after="0" w:line="240" w:lineRule="auto"/>
        <w:ind w:firstLine="567"/>
        <w:jc w:val="both"/>
        <w:rPr>
          <w:rFonts w:ascii="Times New Roman" w:hAnsi="Times New Roman" w:cs="Times New Roman"/>
          <w:sz w:val="24"/>
          <w:szCs w:val="24"/>
          <w:lang w:val="ru-RU"/>
        </w:rPr>
      </w:pPr>
    </w:p>
    <w:p>
      <w:pPr>
        <w:spacing w:after="0" w:line="240" w:lineRule="auto"/>
        <w:jc w:val="center"/>
        <w:rPr>
          <w:rFonts w:ascii="Times New Roman" w:hAnsi="Times New Roman" w:cs="Times New Roman"/>
          <w:b/>
          <w:sz w:val="24"/>
          <w:szCs w:val="24"/>
          <w:lang w:val="ru-RU"/>
        </w:rPr>
      </w:pPr>
      <w:r>
        <w:rPr>
          <w:rFonts w:ascii="Times New Roman" w:hAnsi="Times New Roman" w:cs="Times New Roman"/>
          <w:b/>
          <w:sz w:val="24"/>
          <w:szCs w:val="24"/>
          <w:lang w:val="ru-RU"/>
        </w:rPr>
        <w:t>Расчеты по доходам</w:t>
      </w:r>
    </w:p>
    <w:p>
      <w:pPr>
        <w:spacing w:after="0" w:line="240" w:lineRule="auto"/>
        <w:ind w:firstLine="708"/>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Суд осуществляет бюджетные полномочия администратора доходов бюджета. Порядок </w:t>
      </w:r>
      <w:proofErr w:type="gramStart"/>
      <w:r>
        <w:rPr>
          <w:rFonts w:ascii="Times New Roman" w:hAnsi="Times New Roman" w:cs="Times New Roman"/>
          <w:sz w:val="24"/>
          <w:szCs w:val="24"/>
          <w:lang w:val="ru-RU"/>
        </w:rPr>
        <w:t>осуществления полномочий администратора доходов бюджета</w:t>
      </w:r>
      <w:proofErr w:type="gramEnd"/>
      <w:r>
        <w:rPr>
          <w:rFonts w:ascii="Times New Roman" w:hAnsi="Times New Roman" w:cs="Times New Roman"/>
          <w:sz w:val="24"/>
          <w:szCs w:val="24"/>
          <w:lang w:val="ru-RU"/>
        </w:rPr>
        <w:t xml:space="preserve"> определяется в соответствии с законодательством России и нормативными документами ведомства. </w:t>
      </w:r>
    </w:p>
    <w:p>
      <w:pPr>
        <w:spacing w:after="0" w:line="240" w:lineRule="auto"/>
        <w:ind w:firstLine="708"/>
        <w:jc w:val="both"/>
        <w:rPr>
          <w:rFonts w:ascii="Times New Roman" w:hAnsi="Times New Roman" w:cs="Times New Roman"/>
          <w:sz w:val="24"/>
          <w:szCs w:val="24"/>
          <w:lang w:val="ru-RU"/>
        </w:rPr>
      </w:pPr>
      <w:r>
        <w:rPr>
          <w:rFonts w:ascii="Times New Roman" w:hAnsi="Times New Roman" w:cs="Times New Roman"/>
          <w:sz w:val="24"/>
          <w:szCs w:val="24"/>
          <w:lang w:val="ru-RU"/>
        </w:rPr>
        <w:t>Перечень администрируемых доходов утверждается главным администратором доходов бюджета – Судебным департаментом при Верховном Суде РФ.</w:t>
      </w:r>
    </w:p>
    <w:p>
      <w:pPr>
        <w:jc w:val="center"/>
        <w:rPr>
          <w:rFonts w:ascii="Times New Roman" w:hAnsi="Times New Roman" w:cs="Times New Roman"/>
          <w:b/>
          <w:bCs/>
          <w:sz w:val="24"/>
          <w:szCs w:val="24"/>
          <w:lang w:val="ru-RU"/>
        </w:rPr>
      </w:pPr>
    </w:p>
    <w:p>
      <w:pPr>
        <w:jc w:val="center"/>
        <w:rPr>
          <w:rFonts w:ascii="Times New Roman" w:hAnsi="Times New Roman" w:cs="Times New Roman"/>
          <w:b/>
          <w:sz w:val="24"/>
          <w:szCs w:val="24"/>
          <w:lang w:val="ru-RU"/>
        </w:rPr>
      </w:pPr>
      <w:r>
        <w:rPr>
          <w:rFonts w:ascii="Times New Roman" w:hAnsi="Times New Roman" w:cs="Times New Roman"/>
          <w:b/>
          <w:sz w:val="24"/>
          <w:szCs w:val="24"/>
          <w:lang w:val="ru-RU"/>
        </w:rPr>
        <w:lastRenderedPageBreak/>
        <w:t>Финансовый результат</w:t>
      </w:r>
    </w:p>
    <w:p>
      <w:pPr>
        <w:spacing w:after="0" w:line="240" w:lineRule="auto"/>
        <w:ind w:firstLine="708"/>
        <w:jc w:val="both"/>
        <w:rPr>
          <w:rFonts w:ascii="Times New Roman" w:hAnsi="Times New Roman" w:cs="Times New Roman"/>
          <w:sz w:val="24"/>
          <w:szCs w:val="24"/>
          <w:lang w:val="ru-RU"/>
        </w:rPr>
      </w:pPr>
      <w:r>
        <w:rPr>
          <w:rFonts w:ascii="Times New Roman" w:hAnsi="Times New Roman" w:cs="Times New Roman"/>
          <w:sz w:val="24"/>
          <w:szCs w:val="24"/>
          <w:lang w:val="ru-RU"/>
        </w:rPr>
        <w:t>Доходы от предоставления права пользования активом (арендная плата) признаются доходами текущего финансового года с одновременным уменьшением предстоящих доходов равномерно (ежемесячно) на протяжении срока пользования объектом учета аренды. Основание: пункт 25 СГС «Аренда», подпункт «а» пункта 55 СГС «Доходы».</w:t>
      </w:r>
    </w:p>
    <w:p>
      <w:pPr>
        <w:spacing w:after="0" w:line="240" w:lineRule="auto"/>
        <w:ind w:firstLine="708"/>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Расходы будущих периодов списываются единовременно в конце года на финансовый результат текущего финансового года пропорционально количеству календарных дней действия договора в отчетном периоде. </w:t>
      </w:r>
    </w:p>
    <w:p>
      <w:pPr>
        <w:spacing w:after="0" w:line="240" w:lineRule="auto"/>
        <w:ind w:firstLine="708"/>
        <w:jc w:val="both"/>
        <w:rPr>
          <w:rFonts w:ascii="Times New Roman" w:hAnsi="Times New Roman" w:cs="Times New Roman"/>
          <w:sz w:val="24"/>
          <w:szCs w:val="24"/>
          <w:lang w:val="ru-RU"/>
        </w:rPr>
      </w:pPr>
    </w:p>
    <w:p>
      <w:pPr>
        <w:spacing w:after="0" w:line="240" w:lineRule="auto"/>
        <w:jc w:val="center"/>
        <w:rPr>
          <w:rFonts w:ascii="Times New Roman" w:hAnsi="Times New Roman" w:cs="Times New Roman"/>
          <w:b/>
          <w:sz w:val="24"/>
          <w:szCs w:val="24"/>
          <w:lang w:val="ru-RU"/>
        </w:rPr>
      </w:pPr>
      <w:r>
        <w:rPr>
          <w:rFonts w:ascii="Times New Roman" w:hAnsi="Times New Roman" w:cs="Times New Roman"/>
          <w:b/>
          <w:sz w:val="24"/>
          <w:szCs w:val="24"/>
          <w:lang w:val="ru-RU"/>
        </w:rPr>
        <w:t>Санкционирование расходов</w:t>
      </w:r>
    </w:p>
    <w:p>
      <w:pPr>
        <w:spacing w:after="0" w:line="240" w:lineRule="auto"/>
        <w:ind w:firstLine="708"/>
        <w:jc w:val="both"/>
        <w:rPr>
          <w:rFonts w:ascii="Times New Roman" w:hAnsi="Times New Roman" w:cs="Times New Roman"/>
          <w:sz w:val="24"/>
          <w:szCs w:val="24"/>
          <w:lang w:val="ru-RU"/>
        </w:rPr>
      </w:pPr>
      <w:r>
        <w:rPr>
          <w:rFonts w:ascii="Times New Roman" w:hAnsi="Times New Roman" w:cs="Times New Roman"/>
          <w:sz w:val="24"/>
          <w:szCs w:val="24"/>
          <w:lang w:val="ru-RU"/>
        </w:rPr>
        <w:t>Принятие бюджетных (денежных) обязательств к учету осуществляется в пределах лимитов бюджетных обязательств в порядке, приведенном в приложении № 8 к Учетной политике.</w:t>
      </w:r>
    </w:p>
    <w:p>
      <w:pPr>
        <w:jc w:val="center"/>
        <w:rPr>
          <w:rFonts w:ascii="Times New Roman" w:hAnsi="Times New Roman" w:cs="Times New Roman"/>
          <w:b/>
          <w:bCs/>
          <w:sz w:val="24"/>
          <w:szCs w:val="24"/>
          <w:lang w:val="ru-RU"/>
        </w:rPr>
      </w:pPr>
    </w:p>
    <w:p>
      <w:pPr>
        <w:spacing w:after="0" w:line="240" w:lineRule="auto"/>
        <w:jc w:val="center"/>
        <w:rPr>
          <w:rFonts w:ascii="Times New Roman" w:hAnsi="Times New Roman" w:cs="Times New Roman"/>
          <w:b/>
          <w:sz w:val="24"/>
          <w:szCs w:val="24"/>
          <w:lang w:val="ru-RU"/>
        </w:rPr>
      </w:pPr>
      <w:r>
        <w:rPr>
          <w:rFonts w:ascii="Times New Roman" w:hAnsi="Times New Roman" w:cs="Times New Roman"/>
          <w:b/>
          <w:sz w:val="24"/>
          <w:szCs w:val="24"/>
          <w:lang w:val="ru-RU"/>
        </w:rPr>
        <w:t>События после отчетной даты</w:t>
      </w:r>
    </w:p>
    <w:p>
      <w:pPr>
        <w:spacing w:after="0" w:line="240" w:lineRule="auto"/>
        <w:ind w:firstLine="708"/>
        <w:jc w:val="both"/>
        <w:rPr>
          <w:rFonts w:ascii="Times New Roman" w:hAnsi="Times New Roman" w:cs="Times New Roman"/>
          <w:sz w:val="24"/>
          <w:szCs w:val="24"/>
          <w:lang w:val="ru-RU"/>
        </w:rPr>
      </w:pPr>
      <w:r>
        <w:rPr>
          <w:rFonts w:ascii="Times New Roman" w:hAnsi="Times New Roman" w:cs="Times New Roman"/>
          <w:sz w:val="24"/>
          <w:szCs w:val="24"/>
          <w:lang w:val="ru-RU"/>
        </w:rPr>
        <w:t>Признание в учете и раскрытие в бюджетной отчетности событий после отчетной даты осуществляется в порядке, приведенном в приложении № 9 к Учетной политике.</w:t>
      </w:r>
    </w:p>
    <w:p>
      <w:pPr>
        <w:spacing w:after="0" w:line="240" w:lineRule="auto"/>
        <w:ind w:firstLine="708"/>
        <w:jc w:val="both"/>
        <w:rPr>
          <w:rFonts w:ascii="Times New Roman" w:hAnsi="Times New Roman" w:cs="Times New Roman"/>
          <w:sz w:val="24"/>
          <w:szCs w:val="24"/>
          <w:lang w:val="ru-RU"/>
        </w:rPr>
      </w:pPr>
    </w:p>
    <w:p>
      <w:pPr>
        <w:spacing w:after="0" w:line="240" w:lineRule="auto"/>
        <w:ind w:firstLine="708"/>
        <w:jc w:val="both"/>
        <w:rPr>
          <w:rFonts w:ascii="Times New Roman" w:hAnsi="Times New Roman" w:cs="Times New Roman"/>
          <w:sz w:val="24"/>
          <w:szCs w:val="24"/>
          <w:lang w:val="ru-RU"/>
        </w:rPr>
      </w:pPr>
    </w:p>
    <w:p>
      <w:pPr>
        <w:spacing w:after="0" w:line="240" w:lineRule="auto"/>
        <w:jc w:val="center"/>
        <w:rPr>
          <w:rFonts w:ascii="Times New Roman" w:hAnsi="Times New Roman" w:cs="Times New Roman"/>
          <w:b/>
          <w:sz w:val="24"/>
          <w:szCs w:val="24"/>
          <w:lang w:val="ru-RU"/>
        </w:rPr>
      </w:pPr>
      <w:r>
        <w:rPr>
          <w:rFonts w:ascii="Times New Roman" w:hAnsi="Times New Roman" w:cs="Times New Roman"/>
          <w:b/>
          <w:sz w:val="24"/>
          <w:szCs w:val="24"/>
          <w:lang w:val="ru-RU"/>
        </w:rPr>
        <w:t>Денежные документы</w:t>
      </w:r>
    </w:p>
    <w:p>
      <w:pPr>
        <w:spacing w:after="0" w:line="240" w:lineRule="auto"/>
        <w:ind w:firstLine="708"/>
        <w:jc w:val="both"/>
        <w:rPr>
          <w:rFonts w:ascii="Times New Roman" w:hAnsi="Times New Roman" w:cs="Times New Roman"/>
          <w:sz w:val="24"/>
          <w:szCs w:val="24"/>
          <w:lang w:val="ru-RU"/>
        </w:rPr>
      </w:pPr>
      <w:r>
        <w:rPr>
          <w:rFonts w:ascii="Times New Roman" w:hAnsi="Times New Roman" w:cs="Times New Roman"/>
          <w:sz w:val="24"/>
          <w:szCs w:val="24"/>
          <w:lang w:val="ru-RU"/>
        </w:rPr>
        <w:t>В составе денежных документов, кроме тех, которые перечислены в пункте 72 СГС «Единый план счетов» № 121н, учреждение учитывает – оплаченные  путевки в санатории.</w:t>
      </w:r>
    </w:p>
    <w:p>
      <w:pPr>
        <w:spacing w:after="0" w:line="240" w:lineRule="auto"/>
        <w:ind w:firstLine="708"/>
        <w:jc w:val="both"/>
        <w:rPr>
          <w:rFonts w:ascii="Times New Roman" w:hAnsi="Times New Roman" w:cs="Times New Roman"/>
          <w:b/>
          <w:bCs/>
          <w:sz w:val="24"/>
          <w:szCs w:val="24"/>
          <w:lang w:val="ru-RU"/>
        </w:rPr>
      </w:pPr>
    </w:p>
    <w:p>
      <w:pPr>
        <w:spacing w:after="0" w:line="240" w:lineRule="auto"/>
        <w:jc w:val="center"/>
        <w:rPr>
          <w:rFonts w:ascii="Times New Roman" w:hAnsi="Times New Roman" w:cs="Times New Roman"/>
          <w:b/>
          <w:sz w:val="24"/>
          <w:szCs w:val="24"/>
          <w:lang w:val="ru-RU"/>
        </w:rPr>
      </w:pPr>
      <w:r>
        <w:rPr>
          <w:rFonts w:ascii="Times New Roman" w:hAnsi="Times New Roman" w:cs="Times New Roman"/>
          <w:b/>
          <w:sz w:val="24"/>
          <w:szCs w:val="24"/>
          <w:lang w:val="ru-RU"/>
        </w:rPr>
        <w:t>Инвентаризация имущества и обязательств</w:t>
      </w:r>
    </w:p>
    <w:p>
      <w:pPr>
        <w:spacing w:after="0" w:line="240" w:lineRule="auto"/>
        <w:ind w:firstLine="708"/>
        <w:jc w:val="both"/>
        <w:rPr>
          <w:rFonts w:ascii="Times New Roman" w:hAnsi="Times New Roman" w:cs="Times New Roman"/>
          <w:sz w:val="24"/>
          <w:szCs w:val="24"/>
          <w:lang w:val="ru-RU"/>
        </w:rPr>
      </w:pPr>
      <w:r>
        <w:rPr>
          <w:rFonts w:ascii="Times New Roman" w:hAnsi="Times New Roman" w:cs="Times New Roman"/>
          <w:sz w:val="24"/>
          <w:szCs w:val="24"/>
          <w:lang w:val="ru-RU"/>
        </w:rPr>
        <w:t>Инвентаризация имущества и обязательств (в том числе учитываемых на забалансовых счетах), а также финансовых результатов проводится в соответствии с Порядком проведения инвентаризации активов и обязательств – Приложение №4 к Учетной политике. Основание: статья 11 Закона от 06.12.2011 № 402-ФЗ, раздел VIII СГС «Концептуальные основы бухучета и отчетности».</w:t>
      </w:r>
    </w:p>
    <w:p>
      <w:pPr>
        <w:spacing w:after="0" w:line="240" w:lineRule="auto"/>
        <w:ind w:firstLine="708"/>
        <w:jc w:val="both"/>
        <w:rPr>
          <w:rFonts w:ascii="Times New Roman" w:hAnsi="Times New Roman" w:cs="Times New Roman"/>
          <w:sz w:val="24"/>
          <w:szCs w:val="24"/>
          <w:lang w:val="ru-RU"/>
        </w:rPr>
      </w:pPr>
    </w:p>
    <w:p>
      <w:pPr>
        <w:spacing w:after="0" w:line="240" w:lineRule="auto"/>
        <w:ind w:firstLine="708"/>
        <w:jc w:val="both"/>
        <w:rPr>
          <w:rFonts w:ascii="Times New Roman" w:hAnsi="Times New Roman" w:cs="Times New Roman"/>
          <w:sz w:val="24"/>
          <w:szCs w:val="24"/>
          <w:lang w:val="ru-RU"/>
        </w:rPr>
      </w:pPr>
    </w:p>
    <w:p>
      <w:pPr>
        <w:spacing w:after="0" w:line="240" w:lineRule="auto"/>
        <w:jc w:val="center"/>
        <w:rPr>
          <w:rFonts w:ascii="Times New Roman" w:hAnsi="Times New Roman" w:cs="Times New Roman"/>
          <w:b/>
          <w:sz w:val="24"/>
          <w:szCs w:val="24"/>
          <w:lang w:val="ru-RU"/>
        </w:rPr>
      </w:pPr>
      <w:r>
        <w:rPr>
          <w:rFonts w:ascii="Times New Roman" w:hAnsi="Times New Roman" w:cs="Times New Roman"/>
          <w:b/>
          <w:sz w:val="24"/>
          <w:szCs w:val="24"/>
          <w:lang w:val="ru-RU"/>
        </w:rPr>
        <w:t>Бухгалтерская (финансовая) отчетность</w:t>
      </w:r>
    </w:p>
    <w:p>
      <w:pPr>
        <w:spacing w:after="0" w:line="240" w:lineRule="auto"/>
        <w:ind w:firstLine="708"/>
        <w:jc w:val="both"/>
        <w:rPr>
          <w:rFonts w:ascii="Times New Roman" w:hAnsi="Times New Roman" w:cs="Times New Roman"/>
          <w:sz w:val="24"/>
          <w:szCs w:val="24"/>
          <w:lang w:val="ru-RU"/>
        </w:rPr>
      </w:pPr>
      <w:r>
        <w:rPr>
          <w:rFonts w:ascii="Times New Roman" w:hAnsi="Times New Roman" w:cs="Times New Roman"/>
          <w:sz w:val="24"/>
          <w:szCs w:val="24"/>
          <w:lang w:val="ru-RU"/>
        </w:rPr>
        <w:t>Бюджетная отчетность составляется на основании аналитического и синтетического учета по формам, в объеме и в сроки, установленные вышестоящей организацией и бюджетным законодательством (приказ Минфина от 28.12.2010 № 191н). Бюджетная отчетность представляется главному распорядителю бюджетных средств в установленные им сроки.</w:t>
      </w:r>
    </w:p>
    <w:p>
      <w:pPr>
        <w:spacing w:after="0" w:line="240" w:lineRule="auto"/>
        <w:jc w:val="center"/>
        <w:rPr>
          <w:rFonts w:ascii="Times New Roman" w:hAnsi="Times New Roman" w:cs="Times New Roman"/>
          <w:b/>
          <w:sz w:val="24"/>
          <w:szCs w:val="24"/>
          <w:lang w:val="ru-RU"/>
        </w:rPr>
      </w:pPr>
    </w:p>
    <w:p>
      <w:pPr>
        <w:spacing w:after="0" w:line="240" w:lineRule="auto"/>
        <w:jc w:val="center"/>
        <w:rPr>
          <w:rFonts w:ascii="Times New Roman" w:hAnsi="Times New Roman" w:cs="Times New Roman"/>
          <w:b/>
          <w:sz w:val="24"/>
          <w:szCs w:val="24"/>
          <w:lang w:val="ru-RU"/>
        </w:rPr>
      </w:pPr>
      <w:r>
        <w:rPr>
          <w:rFonts w:ascii="Times New Roman" w:hAnsi="Times New Roman" w:cs="Times New Roman"/>
          <w:b/>
          <w:sz w:val="24"/>
          <w:szCs w:val="24"/>
          <w:lang w:val="ru-RU"/>
        </w:rPr>
        <w:t>Общие принципы ведения налогового учета</w:t>
      </w:r>
    </w:p>
    <w:p>
      <w:pPr>
        <w:spacing w:after="0" w:line="240" w:lineRule="auto"/>
        <w:ind w:firstLine="708"/>
        <w:jc w:val="both"/>
        <w:rPr>
          <w:rFonts w:ascii="Times New Roman" w:hAnsi="Times New Roman" w:cs="Times New Roman"/>
          <w:sz w:val="24"/>
          <w:szCs w:val="24"/>
          <w:lang w:val="ru-RU"/>
        </w:rPr>
      </w:pPr>
      <w:r>
        <w:rPr>
          <w:rFonts w:ascii="Times New Roman" w:hAnsi="Times New Roman" w:cs="Times New Roman"/>
          <w:sz w:val="24"/>
          <w:szCs w:val="24"/>
          <w:lang w:val="ru-RU"/>
        </w:rPr>
        <w:t>Система налогового учета создается в рамках существующей системы бухгалтерского учета в соответствии с требованиями Налогового кодекса Российской Федерации</w:t>
      </w:r>
    </w:p>
    <w:p>
      <w:pPr>
        <w:spacing w:after="0" w:line="240" w:lineRule="auto"/>
        <w:ind w:firstLine="708"/>
        <w:jc w:val="both"/>
        <w:rPr>
          <w:rFonts w:ascii="Times New Roman" w:hAnsi="Times New Roman" w:cs="Times New Roman"/>
          <w:sz w:val="24"/>
          <w:szCs w:val="24"/>
          <w:lang w:val="ru-RU"/>
        </w:rPr>
      </w:pPr>
    </w:p>
    <w:p>
      <w:pPr>
        <w:spacing w:after="0" w:line="240" w:lineRule="auto"/>
        <w:jc w:val="center"/>
        <w:rPr>
          <w:rFonts w:ascii="Times New Roman" w:hAnsi="Times New Roman" w:cs="Times New Roman"/>
          <w:b/>
          <w:sz w:val="24"/>
          <w:szCs w:val="24"/>
          <w:lang w:val="ru-RU"/>
        </w:rPr>
      </w:pPr>
      <w:r>
        <w:rPr>
          <w:rFonts w:ascii="Times New Roman" w:hAnsi="Times New Roman" w:cs="Times New Roman"/>
          <w:b/>
          <w:sz w:val="24"/>
          <w:szCs w:val="24"/>
          <w:lang w:val="ru-RU"/>
        </w:rPr>
        <w:t>Изменение учетной политики</w:t>
      </w:r>
    </w:p>
    <w:p>
      <w:pPr>
        <w:spacing w:after="0" w:line="240" w:lineRule="auto"/>
        <w:ind w:firstLine="708"/>
        <w:jc w:val="both"/>
        <w:rPr>
          <w:rFonts w:ascii="Times New Roman" w:hAnsi="Times New Roman" w:cs="Times New Roman"/>
          <w:sz w:val="24"/>
          <w:szCs w:val="24"/>
          <w:lang w:val="ru-RU"/>
        </w:rPr>
      </w:pPr>
    </w:p>
    <w:p>
      <w:pPr>
        <w:spacing w:after="0" w:line="240" w:lineRule="auto"/>
        <w:ind w:firstLine="708"/>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Учетная политика применяется с момента ее утверждения последовательно из года в год. Изменение учетной политики Суда может производиться в случаях изменения законодательства Российской Федерации и нормативно правовых актов по бухгалтерскому учету. При  осуществлении Судом хозяйственных операций, порядок  </w:t>
      </w:r>
      <w:r>
        <w:rPr>
          <w:rFonts w:ascii="Times New Roman" w:hAnsi="Times New Roman" w:cs="Times New Roman"/>
          <w:sz w:val="24"/>
          <w:szCs w:val="24"/>
          <w:lang w:val="ru-RU"/>
        </w:rPr>
        <w:lastRenderedPageBreak/>
        <w:t>отражения  которых в бюджетном  учете в настоящее время не предусмотрен  нормативными  актами  и  Положением об учетной политике,  оформляется  дополнение   к   настоящему   Положению, утверждаемое приказом руководителя Суда.</w:t>
      </w:r>
    </w:p>
    <w:p>
      <w:pPr>
        <w:spacing w:after="0" w:line="240" w:lineRule="auto"/>
        <w:ind w:firstLine="708"/>
        <w:jc w:val="both"/>
        <w:rPr>
          <w:rFonts w:ascii="Times New Roman" w:hAnsi="Times New Roman" w:cs="Times New Roman"/>
          <w:b/>
          <w:bCs/>
          <w:sz w:val="24"/>
          <w:szCs w:val="24"/>
          <w:lang w:val="ru-RU"/>
        </w:rPr>
      </w:pPr>
    </w:p>
    <w:sectPr>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205D89"/>
    <w:multiLevelType w:val="hybridMultilevel"/>
    <w:tmpl w:val="0A9A2626"/>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rFonts w:ascii="Arial" w:eastAsia="Arial" w:hAnsi="Arial" w:cs="Arial"/>
      <w:color w:val="000000"/>
      <w:sz w:val="20"/>
      <w:szCs w:val="20"/>
      <w:lang w:val="en-US"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Style">
    <w:name w:val="defaultStyle"/>
    <w:link w:val="defaultStyleCar"/>
    <w:uiPriority w:val="99"/>
    <w:unhideWhenUsed/>
    <w:pPr>
      <w:spacing w:line="360" w:lineRule="auto"/>
      <w:jc w:val="both"/>
    </w:pPr>
    <w:rPr>
      <w:color w:val="000000"/>
      <w:sz w:val="24"/>
      <w:lang w:eastAsia="ru-RU"/>
    </w:rPr>
  </w:style>
  <w:style w:type="character" w:customStyle="1" w:styleId="defaultStyleCar">
    <w:name w:val="defaultStyleCar"/>
    <w:link w:val="defaultStyle"/>
    <w:uiPriority w:val="99"/>
    <w:unhideWhenUsed/>
    <w:rPr>
      <w:color w:val="000000"/>
      <w:sz w:val="24"/>
      <w:lang w:eastAsia="ru-RU"/>
    </w:rPr>
  </w:style>
  <w:style w:type="paragraph" w:styleId="a3">
    <w:name w:val="List Paragraph"/>
    <w:basedOn w:val="a"/>
    <w:uiPriority w:val="34"/>
    <w:qFormat/>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rFonts w:ascii="Arial" w:eastAsia="Arial" w:hAnsi="Arial" w:cs="Arial"/>
      <w:color w:val="000000"/>
      <w:sz w:val="20"/>
      <w:szCs w:val="20"/>
      <w:lang w:val="en-US"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Style">
    <w:name w:val="defaultStyle"/>
    <w:link w:val="defaultStyleCar"/>
    <w:uiPriority w:val="99"/>
    <w:unhideWhenUsed/>
    <w:pPr>
      <w:spacing w:line="360" w:lineRule="auto"/>
      <w:jc w:val="both"/>
    </w:pPr>
    <w:rPr>
      <w:color w:val="000000"/>
      <w:sz w:val="24"/>
      <w:lang w:eastAsia="ru-RU"/>
    </w:rPr>
  </w:style>
  <w:style w:type="character" w:customStyle="1" w:styleId="defaultStyleCar">
    <w:name w:val="defaultStyleCar"/>
    <w:link w:val="defaultStyle"/>
    <w:uiPriority w:val="99"/>
    <w:unhideWhenUsed/>
    <w:rPr>
      <w:color w:val="000000"/>
      <w:sz w:val="24"/>
      <w:lang w:eastAsia="ru-RU"/>
    </w:rPr>
  </w:style>
  <w:style w:type="paragraph" w:styleId="a3">
    <w:name w:val="List Paragraph"/>
    <w:basedOn w:val="a"/>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2037</Words>
  <Characters>11615</Characters>
  <Application>Microsoft Office Word</Application>
  <DocSecurity>0</DocSecurity>
  <Lines>96</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13625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Шабалина Юлия Александровна</dc:creator>
  <cp:lastModifiedBy>Сливко Артем Михайлович</cp:lastModifiedBy>
  <cp:revision>2</cp:revision>
  <dcterms:created xsi:type="dcterms:W3CDTF">2026-08-19T13:01:00Z</dcterms:created>
  <dcterms:modified xsi:type="dcterms:W3CDTF">2026-08-19T13:01:00Z</dcterms:modified>
</cp:coreProperties>
</file>