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825E" w14:textId="77777777" w:rsidR="00C91E33" w:rsidRDefault="00C91E33">
      <w:pPr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</w:p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0FD2F048" w:rsidR="00C91E33" w:rsidRDefault="00F84EC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 w:rsidR="00530B7C">
        <w:rPr>
          <w:rFonts w:ascii="Times New Roman" w:hAnsi="Times New Roman"/>
          <w:sz w:val="26"/>
        </w:rPr>
        <w:t>риказом</w:t>
      </w:r>
      <w:r>
        <w:rPr>
          <w:rFonts w:ascii="Times New Roman" w:hAnsi="Times New Roman"/>
          <w:sz w:val="26"/>
        </w:rPr>
        <w:t xml:space="preserve"> Змеиногорского </w:t>
      </w:r>
      <w:r w:rsidR="001F2EA7">
        <w:rPr>
          <w:rFonts w:ascii="Times New Roman" w:hAnsi="Times New Roman"/>
          <w:sz w:val="26"/>
        </w:rPr>
        <w:t>городского суда</w:t>
      </w:r>
      <w:r w:rsidR="00530B7C"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0CDE9859" w14:textId="55542B2B" w:rsidR="00C91E33" w:rsidRDefault="00530B7C" w:rsidP="00F84EC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</w:t>
      </w:r>
      <w:r w:rsidR="00F84ECC">
        <w:rPr>
          <w:rFonts w:ascii="Times New Roman" w:hAnsi="Times New Roman"/>
          <w:sz w:val="26"/>
        </w:rPr>
        <w:t>23</w:t>
      </w:r>
      <w:r>
        <w:rPr>
          <w:rFonts w:ascii="Times New Roman" w:hAnsi="Times New Roman"/>
          <w:sz w:val="26"/>
        </w:rPr>
        <w:t xml:space="preserve">» </w:t>
      </w:r>
      <w:r w:rsidR="00F84ECC">
        <w:rPr>
          <w:rFonts w:ascii="Times New Roman" w:hAnsi="Times New Roman"/>
          <w:sz w:val="26"/>
        </w:rPr>
        <w:t>января</w:t>
      </w:r>
      <w:r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</w:t>
      </w:r>
      <w:r w:rsidR="00241DB9">
        <w:rPr>
          <w:rFonts w:ascii="Times New Roman" w:hAnsi="Times New Roman"/>
          <w:sz w:val="26"/>
        </w:rPr>
        <w:t>2</w:t>
      </w:r>
      <w:bookmarkStart w:id="0" w:name="_GoBack"/>
      <w:bookmarkEnd w:id="0"/>
    </w:p>
    <w:p w14:paraId="52873C1D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2919FDB4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1" w:name="Par40"/>
      <w:bookmarkEnd w:id="1"/>
      <w:r>
        <w:rPr>
          <w:rFonts w:ascii="Times New Roman" w:hAnsi="Times New Roman"/>
          <w:b/>
          <w:sz w:val="26"/>
        </w:rPr>
        <w:t>П Л А Н</w:t>
      </w:r>
    </w:p>
    <w:p w14:paraId="7DDB61A6" w14:textId="7E816D54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в </w:t>
      </w:r>
      <w:r w:rsidR="00F84ECC" w:rsidRPr="00F84ECC">
        <w:rPr>
          <w:rFonts w:ascii="Times New Roman" w:hAnsi="Times New Roman"/>
          <w:b/>
          <w:sz w:val="26"/>
        </w:rPr>
        <w:t>Змеиногорском</w:t>
      </w:r>
      <w:r w:rsidR="00F84ECC">
        <w:rPr>
          <w:rFonts w:ascii="Times New Roman" w:hAnsi="Times New Roman"/>
          <w:sz w:val="26"/>
        </w:rPr>
        <w:t xml:space="preserve"> </w:t>
      </w:r>
      <w:r w:rsidR="001F2EA7" w:rsidRPr="001F2EA7">
        <w:rPr>
          <w:rFonts w:ascii="Times New Roman" w:hAnsi="Times New Roman"/>
          <w:b/>
          <w:sz w:val="26"/>
        </w:rPr>
        <w:t>городском суде Алтайского края</w:t>
      </w:r>
    </w:p>
    <w:p w14:paraId="643E08C0" w14:textId="77777777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49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8892D" w14:textId="77777777" w:rsidR="00C91E33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270EC33C" w14:textId="35B22560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своевременная актуализация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F84ECC" w:rsidRPr="00744D2D" w14:paraId="36C7CD52" w14:textId="77777777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63C37B15" w:rsidR="00F84ECC" w:rsidRPr="00744D2D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F84ECC" w:rsidRPr="00744D2D" w:rsidRDefault="00F84EC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Проведение антикоррупционной экспертизы локальных нормативных актов и проектов локальных нормативных актов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CAF95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6763F7BC" w14:textId="1A78E490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F84ECC" w:rsidRPr="00744D2D" w:rsidRDefault="00F84EC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выявление возможных коррупциогенных факторов и своевременное их устранение в локальных нормативных актах суда</w:t>
            </w:r>
          </w:p>
        </w:tc>
      </w:tr>
      <w:tr w:rsidR="00F84ECC" w14:paraId="259DAA94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570" w14:textId="2E0D62EA" w:rsidR="00F84ECC" w:rsidRDefault="00F84EC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84ECC" w:rsidRPr="00744D2D" w14:paraId="76C93E2F" w14:textId="77777777" w:rsidTr="00D70095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F84ECC" w:rsidRPr="00744D2D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05"/>
            <w:bookmarkEnd w:id="3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F84ECC" w:rsidRPr="00744D2D" w:rsidRDefault="00F84EC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6C8DE6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50431B8" w14:textId="2F8C6FA6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F84ECC" w:rsidRPr="00744D2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F84ECC" w:rsidRPr="00744D2D" w:rsidRDefault="00F84EC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оценка профессиональной служебной деятельности, профессионального уровня государственных гражданских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F84ECC" w:rsidRPr="00744D2D" w:rsidRDefault="00F84E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5BF59104" w14:textId="77777777" w:rsidR="00F84ECC" w:rsidRPr="00744D2D" w:rsidRDefault="00F84EC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высоких результатов</w:t>
            </w:r>
          </w:p>
        </w:tc>
      </w:tr>
      <w:tr w:rsidR="00F84ECC" w:rsidRPr="00123EFD" w14:paraId="5FADD7A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264B8922" w:rsidR="00F84ECC" w:rsidRPr="00123EFD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F84ECC" w:rsidRPr="00123EFD" w:rsidRDefault="00F84EC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D7B6BF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7E9AF756" w14:textId="188A83BF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AEDF3E" w14:textId="77777777" w:rsidR="00F84ECC" w:rsidRPr="00123EFD" w:rsidRDefault="00F84E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14:paraId="4EB70E56" w14:textId="77777777" w:rsidR="00F84ECC" w:rsidRPr="00123EFD" w:rsidRDefault="00F84E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F84ECC" w:rsidRPr="00123EFD" w14:paraId="4414C2F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22277BF5" w:rsidR="00F84ECC" w:rsidRPr="00123EFD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F84ECC" w:rsidRPr="00123EFD" w:rsidRDefault="00F84EC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89A06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40F8DF61" w14:textId="7449C4BF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EE89B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14:paraId="24DE7DA4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0686D5AC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DBFD9D5" w14:textId="77777777" w:rsidR="00F84ECC" w:rsidRPr="00123EFD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F84ECC" w:rsidRPr="002B24C1" w14:paraId="5A70BB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0E07B093" w:rsidR="00F84ECC" w:rsidRPr="002B24C1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F84ECC" w:rsidRPr="002B24C1" w:rsidRDefault="00F84EC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4C63F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6FA8D709" w14:textId="1286215A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F84ECC" w:rsidRPr="002B24C1" w14:paraId="7CE4DC9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1F756A82" w:rsidR="00F84ECC" w:rsidRPr="002B24C1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F84ECC" w:rsidRPr="002B24C1" w:rsidRDefault="00F84EC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118665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отдела </w:t>
            </w:r>
          </w:p>
          <w:p w14:paraId="3B4D0088" w14:textId="385D8238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постоянно</w:t>
            </w:r>
          </w:p>
          <w:p w14:paraId="49DED9E8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 xml:space="preserve">выявление случаев несоблюдения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 xml:space="preserve">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F84ECC" w:rsidRPr="002B24C1" w14:paraId="1D09D8D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67A8B6A" w:rsidR="00F84ECC" w:rsidRPr="002B24C1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2.8.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F84ECC" w:rsidRPr="002B24C1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C8324" w14:textId="77777777" w:rsidR="00F84ECC" w:rsidRP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r w:rsidRPr="00F84ECC">
              <w:rPr>
                <w:rFonts w:ascii="Times New Roman" w:hAnsi="Times New Roman"/>
                <w:b/>
                <w:color w:val="auto"/>
                <w:sz w:val="26"/>
              </w:rPr>
              <w:t xml:space="preserve">Начальник отдела </w:t>
            </w:r>
          </w:p>
          <w:p w14:paraId="6CF9B127" w14:textId="19DFACA2" w:rsidR="00F84ECC" w:rsidRP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auto"/>
                <w:sz w:val="26"/>
              </w:rPr>
            </w:pPr>
            <w:r w:rsidRPr="00F84ECC">
              <w:rPr>
                <w:rFonts w:ascii="Times New Roman" w:hAnsi="Times New Roman"/>
                <w:b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2EC8D85E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F84ECC" w:rsidRPr="002B24C1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84ECC" w:rsidRPr="00983D7A" w14:paraId="3B9511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2C3D1786" w:rsidR="00F84ECC" w:rsidRPr="00983D7A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F84ECC" w:rsidRPr="00983D7A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4D921D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45FA6038" w14:textId="0DEB4718" w:rsidR="00F84ECC" w:rsidRPr="00983D7A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F84ECC" w:rsidRPr="00983D7A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F84ECC" w:rsidRPr="00983D7A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28A01" w14:textId="77777777" w:rsidR="00F84ECC" w:rsidRPr="00983D7A" w:rsidRDefault="00F84EC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</w: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за совершение коррупционного правонарушения</w:t>
            </w:r>
          </w:p>
        </w:tc>
      </w:tr>
      <w:tr w:rsidR="00F84ECC" w:rsidRPr="002E211C" w14:paraId="46370FC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5504AB87" w:rsidR="00F84ECC" w:rsidRPr="002E211C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2.10.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F84ECC" w:rsidRPr="002E211C" w:rsidRDefault="00F84EC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14:paraId="3067C82F" w14:textId="77777777" w:rsidR="00F84ECC" w:rsidRPr="002E211C" w:rsidRDefault="00F84ECC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1D481B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8777FA7" w14:textId="46643369" w:rsidR="00F84ECC" w:rsidRPr="002E211C" w:rsidRDefault="00F84ECC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F84ECC" w:rsidRPr="002E211C" w14:paraId="394ADD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271436C6" w:rsidR="00F84ECC" w:rsidRPr="002E211C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F84ECC" w:rsidRPr="002E211C" w:rsidRDefault="00F84EC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A3887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28BEB2CA" w14:textId="06C78B75" w:rsidR="00F84ECC" w:rsidRPr="002E211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F84ECC" w:rsidRPr="002E211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B4621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  <w:p w14:paraId="755E2F56" w14:textId="77777777" w:rsidR="00F84ECC" w:rsidRPr="002E211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F84ECC" w14:paraId="70BD4C5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E05CF04" w:rsidR="00F84ECC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7E019" w14:textId="1AC0CE09" w:rsidR="00F84ECC" w:rsidRPr="00FC30B4" w:rsidRDefault="00F84ECC" w:rsidP="0097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отдел по вопросам противодействия коррупции Управления Судебного 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по Алтайскому краю информации о представлении федеральными государственными гражданскими служащими Управления, включенными в соответствующий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lastRenderedPageBreak/>
              <w:t>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 суда, не представивших сведения о доходах, расходах, об имуществе и обязательствах имущественного характера в установленный срок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9336D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отдела </w:t>
            </w:r>
          </w:p>
          <w:p w14:paraId="1C9CDCE6" w14:textId="78A6CC3D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F84EC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 xml:space="preserve">в судах и Управлении, </w:t>
            </w:r>
            <w:r>
              <w:rPr>
                <w:rFonts w:ascii="Times New Roman" w:hAnsi="Times New Roman"/>
                <w:sz w:val="26"/>
              </w:rPr>
              <w:lastRenderedPageBreak/>
              <w:t>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F84ECC" w:rsidRPr="0040680B" w14:paraId="1CCFA23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4952F53B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6DDF7DCE" w:rsidR="00F84ECC" w:rsidRPr="0040680B" w:rsidRDefault="00F84EC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91FE9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2B01356B" w14:textId="4179EB29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F84ECC" w:rsidRPr="0040680B" w14:paraId="0E045C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47502CF2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F84ECC" w:rsidRPr="0040680B" w:rsidRDefault="00F84EC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3920F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A455346" w14:textId="30E7192D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F84ECC" w:rsidRPr="0040680B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F84ECC" w:rsidRPr="0040680B" w14:paraId="245DD3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481CDA07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F84ECC" w:rsidRPr="0040680B" w:rsidRDefault="00F84EC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A39003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A62E14B" w14:textId="12D8AF84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F84ECC" w:rsidRPr="0040680B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F84ECC" w:rsidRPr="0040680B" w14:paraId="3035E4D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0EAF905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F77AE" w14:textId="27080CF6" w:rsidR="00F84ECC" w:rsidRPr="0040680B" w:rsidRDefault="00F84EC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претендующими на замещение должностей федеральной государственной гражданской службы, федеральными государственными гражданскими служащими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9AD82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отдела </w:t>
            </w:r>
          </w:p>
          <w:p w14:paraId="1C5EFF24" w14:textId="36A224C6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F84ECC" w:rsidRPr="0040680B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коррупции</w:t>
            </w:r>
          </w:p>
        </w:tc>
      </w:tr>
      <w:tr w:rsidR="00F84ECC" w:rsidRPr="0040680B" w14:paraId="2D2DD501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7611E5EB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F84ECC" w:rsidRPr="0040680B" w:rsidRDefault="00F84EC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AAE59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F2BA976" w14:textId="23DF44C1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F84ECC" w:rsidRPr="0040680B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84ECC" w:rsidRPr="0040680B" w14:paraId="560D22E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65C4059E" w:rsidR="00F84ECC" w:rsidRPr="0040680B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F84ECC" w:rsidRPr="0040680B" w:rsidRDefault="00F84ECC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54B78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7B6A8F97" w14:textId="665CFDA7" w:rsidR="00F84ECC" w:rsidRPr="0040680B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F84ECC" w:rsidRPr="0040680B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6CBEF419" w:rsidR="00F84ECC" w:rsidRPr="0040680B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84ECC" w:rsidRPr="00D17850" w14:paraId="4AE20E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E32B02F" w:rsidR="00F84ECC" w:rsidRPr="00D17850" w:rsidRDefault="00F84EC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F84ECC" w:rsidRPr="00D17850" w:rsidRDefault="00F84ECC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BF036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4A87650" w14:textId="348B0848" w:rsidR="00F84ECC" w:rsidRPr="00D1785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F84ECC" w:rsidRPr="00D17850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F84ECC" w:rsidRPr="00D17850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84ECC" w:rsidRPr="00290E85" w14:paraId="3AF0D7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42B205DA" w:rsidR="00F84ECC" w:rsidRPr="00290E8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2.20.</w:t>
            </w:r>
          </w:p>
          <w:p w14:paraId="034E31D7" w14:textId="77777777" w:rsidR="00F84ECC" w:rsidRPr="00290E8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ABC7A" w14:textId="5529BBBA" w:rsidR="00F84ECC" w:rsidRPr="00290E85" w:rsidRDefault="00F84ECC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0A09C2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77D7715" w14:textId="6B2528C5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F84ECC" w:rsidRPr="00290E8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1569015B" w14:textId="77777777" w:rsidR="00F84ECC" w:rsidRPr="00290E8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  <w:p w14:paraId="7865AF09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F84ECC" w:rsidRPr="00290E85" w:rsidRDefault="00F84ECC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F84ECC" w:rsidRPr="00290E85" w14:paraId="62B3840B" w14:textId="77777777" w:rsidTr="00340789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50CF35C" w:rsidR="00F84ECC" w:rsidRPr="00290E85" w:rsidRDefault="00F84EC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2.21.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53A0F" w14:textId="77777777" w:rsidR="00F84ECC" w:rsidRPr="00290E85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64DBC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506122BF" w14:textId="3660F76B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F84ECC" w:rsidRPr="00290E8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F84ECC" w:rsidRPr="00290E8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84ECC" w:rsidRPr="00290E85" w14:paraId="76C75BE2" w14:textId="77777777" w:rsidTr="00891F54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7DD8035E" w:rsidR="00F84ECC" w:rsidRPr="00290E85" w:rsidRDefault="00F84EC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0EE16DC9" w:rsidR="00F84ECC" w:rsidRPr="00290E85" w:rsidRDefault="00F84EC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2AF10C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24556937" w14:textId="366E12C1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F84ECC" w:rsidRPr="00290E8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7E13AA22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2D0F6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</w:tc>
      </w:tr>
      <w:tr w:rsidR="00F84ECC" w:rsidRPr="00290E85" w14:paraId="2C755458" w14:textId="77777777" w:rsidTr="004978B8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7E37B0C0" w:rsidR="00F84ECC" w:rsidRPr="00290E85" w:rsidRDefault="00F84EC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F84ECC" w:rsidRPr="00290E85" w:rsidRDefault="00F84EC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представления сведений о ходе реализации мер по противодействию коррупции в суде в Управление Судебного департамента в Алтайском крае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ADA4BB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41C0C997" w14:textId="159580F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DE5CB" w14:textId="24031AEC" w:rsidR="00F84ECC" w:rsidRPr="00290E85" w:rsidRDefault="00F84EC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</w:tc>
      </w:tr>
      <w:tr w:rsidR="00F84ECC" w14:paraId="02D25E9E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18544" w14:textId="262C88AF" w:rsidR="00F84ECC" w:rsidRDefault="00F84EC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F84ECC" w:rsidRPr="00290E85" w14:paraId="4124B46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F84ECC" w:rsidRPr="00290E85" w:rsidRDefault="00F84EC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F84ECC" w:rsidRPr="00290E85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3A978CA2" w14:textId="77777777" w:rsidR="00F84ECC" w:rsidRPr="00290E85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F84ECC" w:rsidRPr="00290E85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06236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отдела </w:t>
            </w:r>
          </w:p>
          <w:p w14:paraId="4FA07C49" w14:textId="0A0494AD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постоянно,</w:t>
            </w:r>
          </w:p>
          <w:p w14:paraId="00568CF1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течение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9A8D5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lastRenderedPageBreak/>
              <w:t xml:space="preserve">обеспечение полной и своевременной регистрации </w:t>
            </w:r>
            <w:r w:rsidRPr="00290E85">
              <w:rPr>
                <w:color w:val="auto"/>
                <w:sz w:val="26"/>
              </w:rPr>
              <w:lastRenderedPageBreak/>
              <w:t>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7EBE75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Отражение объектов недвижимого имущества в бухгалтерском учете.</w:t>
            </w:r>
          </w:p>
          <w:p w14:paraId="345D76DC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Своевременность и полнота отражения сведений, внесенных в реестр федерального имущества.</w:t>
            </w:r>
          </w:p>
          <w:p w14:paraId="00A5B89B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14:paraId="70A7CE40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Максимально полная инвентаризация объектов государственной собственности, </w:t>
            </w:r>
            <w:r w:rsidRPr="00290E85">
              <w:rPr>
                <w:color w:val="auto"/>
                <w:sz w:val="26"/>
              </w:rPr>
              <w:lastRenderedPageBreak/>
              <w:t>разработка и реализация мер по повышению эффективности системы учета этих объектов и оформления прав на них.</w:t>
            </w:r>
          </w:p>
          <w:p w14:paraId="70A05313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14:paraId="51A005F3" w14:textId="77777777" w:rsidR="00F84ECC" w:rsidRPr="00290E85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03111379" w14:textId="77777777" w:rsidR="00F84ECC" w:rsidRPr="00290E85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F84ECC" w:rsidRPr="00E77C00" w14:paraId="423C95B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F84ECC" w:rsidRPr="00E77C00" w:rsidRDefault="00F84EC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F84ECC" w:rsidRPr="00E77C00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A321D0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7525945E" w14:textId="2A5509BF" w:rsidR="00F84ECC" w:rsidRPr="00E77C0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F84ECC" w:rsidRPr="00E77C0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юрисдикции.</w:t>
            </w:r>
          </w:p>
          <w:p w14:paraId="3C6774B6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Восстановление утраченных в </w:t>
            </w:r>
            <w:r w:rsidRPr="00E77C00">
              <w:rPr>
                <w:color w:val="auto"/>
                <w:sz w:val="26"/>
              </w:rPr>
              <w:lastRenderedPageBreak/>
              <w:t>процессе эксплуатации технических характеристик зданий судов.</w:t>
            </w:r>
          </w:p>
          <w:p w14:paraId="67F542E8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Улучшение эстетического вида и эксплуатационных показателей зданий судов.</w:t>
            </w:r>
          </w:p>
          <w:p w14:paraId="4BD1948C" w14:textId="77777777" w:rsidR="00F84ECC" w:rsidRPr="00E77C00" w:rsidRDefault="00F84EC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Повышение энергоэффективности зданий судов</w:t>
            </w:r>
          </w:p>
        </w:tc>
      </w:tr>
      <w:tr w:rsidR="00F84ECC" w14:paraId="10FD43FF" w14:textId="77777777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9EE67D" w14:textId="5215AA40" w:rsidR="00F84ECC" w:rsidRDefault="00F84EC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>в деятельности суда, мониторинг коррупционных рисков и их устранение</w:t>
            </w:r>
          </w:p>
        </w:tc>
      </w:tr>
      <w:tr w:rsidR="00F84ECC" w14:paraId="309D768D" w14:textId="77777777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F84ECC" w:rsidRDefault="00F84EC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E3C58" w14:textId="20657C31" w:rsidR="00F84ECC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A6F30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49A8CD5E" w14:textId="51888371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F84EC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F84EC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F84ECC" w14:paraId="7D0A7885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BD301" w14:textId="3827A85E" w:rsidR="00F84ECC" w:rsidRDefault="00F84EC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коррупции и мероприятий по профессиональному развитию в области противодействия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суде </w:t>
            </w:r>
          </w:p>
        </w:tc>
      </w:tr>
      <w:tr w:rsidR="00F84ECC" w:rsidRPr="00E77C00" w14:paraId="2CE7503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F84ECC" w:rsidRPr="00E77C00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4" w:name="Par182"/>
            <w:bookmarkEnd w:id="4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F84ECC" w:rsidRPr="00E77C00" w:rsidRDefault="00F84EC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8AD7B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532AD12A" w14:textId="44D41D2D" w:rsidR="00F84ECC" w:rsidRPr="00E77C0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F84ECC" w:rsidRPr="00E77C00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F84ECC" w:rsidRPr="00E77C0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F84ECC" w:rsidRPr="00E77C0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F84ECC" w:rsidRPr="00E77C00" w:rsidRDefault="00F84ECC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районных, городских судов Алтайского края </w:t>
            </w:r>
          </w:p>
        </w:tc>
      </w:tr>
      <w:tr w:rsidR="00F84ECC" w14:paraId="4E4CF21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F84ECC" w:rsidRPr="001B7B64" w:rsidRDefault="00F84EC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 для федеральных государственных гражданских служащих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63D7C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3F102B93" w14:textId="0FB1A560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F84ECC" w:rsidRDefault="00F84ECC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законодательства о противодействии коррупции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судов Алтайского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F84ECC" w:rsidRPr="00E20CA5" w14:paraId="2676735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F84ECC" w:rsidRPr="00E20CA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6FE7E51E" w:rsidR="00F84ECC" w:rsidRPr="00E20CA5" w:rsidRDefault="00F84EC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15152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58A9ED45" w14:textId="57196937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F84ECC" w:rsidRPr="00E20CA5" w:rsidRDefault="00F84EC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F84ECC" w:rsidRPr="00E20CA5" w14:paraId="39A09E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F84ECC" w:rsidRPr="00E20CA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F84ECC" w:rsidRPr="00E20CA5" w:rsidRDefault="00F84EC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DA0697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3B003B45" w14:textId="303BD5F4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F84ECC" w:rsidRPr="00E20CA5" w:rsidRDefault="00F84EC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установленными федеральным законодательством и локальными нормативными актами </w:t>
            </w:r>
          </w:p>
        </w:tc>
      </w:tr>
      <w:tr w:rsidR="00F84ECC" w:rsidRPr="00E20CA5" w14:paraId="2256BBFD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F84ECC" w:rsidRPr="00E20CA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6FBFE9F3" w:rsidR="00F84ECC" w:rsidRPr="00E20CA5" w:rsidRDefault="00F84EC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CF0507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775808DC" w14:textId="43009E22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F84ECC" w:rsidRPr="00E20CA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14:paraId="78785356" w14:textId="77777777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F84ECC" w:rsidRPr="00E20CA5" w:rsidRDefault="00F84EC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F84ECC" w:rsidRPr="00E20CA5" w14:paraId="17F85BE9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F84ECC" w:rsidRPr="00E20CA5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F84ECC" w:rsidRPr="00E20CA5" w:rsidRDefault="00F84EC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суда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AF9F43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61157BF" w14:textId="237D9CC4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F84ECC" w:rsidRPr="00E20CA5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F84ECC" w:rsidRPr="00E20CA5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9156C" w14:textId="17EF09D8" w:rsidR="00F84ECC" w:rsidRPr="00E20CA5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17078EA7" w14:textId="77777777" w:rsidR="00F84ECC" w:rsidRPr="00E20CA5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F84ECC" w14:paraId="4BB8BD2B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104F23" w14:textId="27954E1F" w:rsidR="00F84ECC" w:rsidRDefault="00F84EC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F84ECC" w14:paraId="29B43F8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F84ECC" w:rsidRDefault="00F84EC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>о проявлении коррупции в 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DFE72" w14:textId="47A9E57D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(отв. за работу со СМИ)</w:t>
            </w:r>
          </w:p>
          <w:p w14:paraId="5C3718C7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E816E" w14:textId="77777777" w:rsidR="00F84EC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отчетного периода</w:t>
            </w:r>
          </w:p>
          <w:p w14:paraId="4F782B75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F84EC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Выявление и предупреждение коррупционных правонарушений в деятельности судах Алтайского края и Управлении Судебного департамента</w:t>
            </w:r>
          </w:p>
        </w:tc>
      </w:tr>
      <w:tr w:rsidR="00F84ECC" w14:paraId="01E7C27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F84ECC" w:rsidRPr="00E41FAE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32E97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221EBF7" w14:textId="698F6644" w:rsidR="00F84ECC" w:rsidRPr="00E41FAE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61622" w14:textId="77777777" w:rsidR="00F84ECC" w:rsidRPr="00E41FAE" w:rsidRDefault="00F84ECC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  <w:p w14:paraId="796BE10D" w14:textId="77777777" w:rsidR="00F84ECC" w:rsidRPr="00E41FAE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F84ECC" w:rsidRPr="00E41FAE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84ECC" w:rsidRPr="00900580" w14:paraId="72525AF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77777777" w:rsidR="00F84ECC" w:rsidRPr="00900580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F84ECC" w:rsidRPr="00900580" w:rsidRDefault="00F84EC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9A9DE1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6E18D1CA" w14:textId="28A79256" w:rsidR="00F84ECC" w:rsidRPr="00900580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F84ECC" w:rsidRPr="00900580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F84ECC" w:rsidRPr="00900580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F84ECC" w:rsidRPr="00900580" w:rsidRDefault="00F84EC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F84ECC" w14:paraId="0ECE021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F84ECC" w:rsidRPr="00F625C3" w:rsidRDefault="00F84ECC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20064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5CC23C7B" w14:textId="2DC5AF95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F84EC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76A83" w14:textId="717EA160" w:rsidR="00F84ECC" w:rsidRDefault="00F84ECC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обеспечение открытости и доступности информации об антикоррупционной деятельности в судах Алтайского края </w:t>
            </w:r>
          </w:p>
        </w:tc>
      </w:tr>
      <w:tr w:rsidR="00F84ECC" w:rsidRPr="00FC64BC" w14:paraId="0698B5C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77777777" w:rsidR="00F84ECC" w:rsidRPr="00FC64B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F84ECC" w:rsidRPr="00FC64BC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2028 годов на официальном сайте суда </w:t>
            </w:r>
          </w:p>
          <w:p w14:paraId="672BA087" w14:textId="77777777" w:rsidR="00F84ECC" w:rsidRPr="00FC64BC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EDA3E6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FBA4FC9" w14:textId="1EB56DF2" w:rsidR="00F84ECC" w:rsidRPr="00FC64B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F84ECC" w:rsidRPr="00FC64B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F84ECC" w:rsidRPr="00FC64B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F84ECC" w:rsidRPr="00FC64B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E6EAC" w14:textId="189B55E2" w:rsidR="00F84ECC" w:rsidRPr="00FC64BC" w:rsidRDefault="00F84EC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суда </w:t>
            </w:r>
          </w:p>
        </w:tc>
      </w:tr>
      <w:tr w:rsidR="00F84ECC" w:rsidRPr="00FC64BC" w14:paraId="662B06A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77777777" w:rsidR="00F84ECC" w:rsidRPr="00FC64B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F84ECC" w:rsidRPr="00FC64BC" w:rsidRDefault="00F84EC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суде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с проявлениями коррупции в суде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7AA04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4D4AFEC" w14:textId="255231C6" w:rsidR="00F84ECC" w:rsidRPr="00FC64BC" w:rsidRDefault="00F84ECC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F84ECC" w:rsidRPr="00FC64B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F84ECC" w:rsidRPr="00FC64BC" w:rsidRDefault="00F84EC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суда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F84ECC" w14:paraId="6CC1C5F8" w14:textId="77777777" w:rsidTr="00384B3A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F84ECC" w:rsidRPr="00D44036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4EE54F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125D7FAB" w14:textId="28BFF22D" w:rsidR="00F84ECC" w:rsidRPr="00DF1634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F84EC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F84EC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своевременное оперативное реагирование на коррупционные правонарушения и обеспечение соблюдения принципа </w:t>
            </w:r>
            <w:r>
              <w:rPr>
                <w:rFonts w:ascii="Times New Roman" w:hAnsi="Times New Roman"/>
                <w:sz w:val="26"/>
              </w:rPr>
              <w:lastRenderedPageBreak/>
              <w:t>неотвратимости юридической ответственности за коррупционные и иные правонарушения</w:t>
            </w:r>
          </w:p>
        </w:tc>
      </w:tr>
      <w:tr w:rsidR="00F84ECC" w14:paraId="52540B8E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F84ECC" w:rsidRPr="00D44036" w:rsidRDefault="00F84ECC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квалификационной коллегией судей Алтайского края и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BBF65D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06171F92" w14:textId="36E713EB" w:rsidR="00F84ECC" w:rsidRDefault="00F84ECC">
            <w:pPr>
              <w:pStyle w:val="a3"/>
              <w:jc w:val="center"/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F84ECC" w:rsidRDefault="00F84EC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AAAA" w14:textId="07EB51DB" w:rsidR="00F84ECC" w:rsidRDefault="00F84ECC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Алтайского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</w:p>
        </w:tc>
      </w:tr>
      <w:tr w:rsidR="00F84ECC" w14:paraId="30C899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77777777" w:rsidR="00F84ECC" w:rsidRDefault="00F84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F84ECC" w:rsidRPr="00D44036" w:rsidRDefault="00F84E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9479C" w14:textId="77777777" w:rsidR="00F84ECC" w:rsidRDefault="00F84ECC" w:rsidP="0050472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отдела </w:t>
            </w:r>
          </w:p>
          <w:p w14:paraId="61DA347E" w14:textId="6AACE823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Пятков Е.В.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F84ECC" w:rsidRDefault="00F84EC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77777777" w:rsidR="00F84ECC" w:rsidRDefault="00F84EC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14:paraId="1AB8CDD6" w14:textId="77777777" w:rsidR="00C91E33" w:rsidRDefault="00C91E33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>
      <w:headerReference w:type="default" r:id="rId8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0E014" w14:textId="77777777" w:rsidR="00EC05B7" w:rsidRDefault="00EC05B7">
      <w:pPr>
        <w:spacing w:after="0" w:line="240" w:lineRule="auto"/>
      </w:pPr>
      <w:r>
        <w:separator/>
      </w:r>
    </w:p>
  </w:endnote>
  <w:endnote w:type="continuationSeparator" w:id="0">
    <w:p w14:paraId="1B00D4ED" w14:textId="77777777" w:rsidR="00EC05B7" w:rsidRDefault="00E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F3436" w14:textId="77777777" w:rsidR="00EC05B7" w:rsidRDefault="00EC05B7">
      <w:pPr>
        <w:spacing w:after="0" w:line="240" w:lineRule="auto"/>
      </w:pPr>
      <w:r>
        <w:separator/>
      </w:r>
    </w:p>
  </w:footnote>
  <w:footnote w:type="continuationSeparator" w:id="0">
    <w:p w14:paraId="68E0F202" w14:textId="77777777" w:rsidR="00EC05B7" w:rsidRDefault="00E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41DB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123EFD"/>
    <w:rsid w:val="00136EC9"/>
    <w:rsid w:val="0014698A"/>
    <w:rsid w:val="0016701A"/>
    <w:rsid w:val="00170A25"/>
    <w:rsid w:val="001A0500"/>
    <w:rsid w:val="001B5D6D"/>
    <w:rsid w:val="001B7B64"/>
    <w:rsid w:val="001C6418"/>
    <w:rsid w:val="001C7D71"/>
    <w:rsid w:val="001F2EA7"/>
    <w:rsid w:val="00241DB9"/>
    <w:rsid w:val="00261B9F"/>
    <w:rsid w:val="00290E85"/>
    <w:rsid w:val="002B24C1"/>
    <w:rsid w:val="002D0D22"/>
    <w:rsid w:val="002E211C"/>
    <w:rsid w:val="002F28BB"/>
    <w:rsid w:val="00304F02"/>
    <w:rsid w:val="00310D07"/>
    <w:rsid w:val="00331DDC"/>
    <w:rsid w:val="003535C9"/>
    <w:rsid w:val="00357B87"/>
    <w:rsid w:val="004060B7"/>
    <w:rsid w:val="0040680B"/>
    <w:rsid w:val="004629EE"/>
    <w:rsid w:val="00491CF4"/>
    <w:rsid w:val="00491FA4"/>
    <w:rsid w:val="00530B7C"/>
    <w:rsid w:val="00543CF4"/>
    <w:rsid w:val="005B7D2A"/>
    <w:rsid w:val="005C4A7B"/>
    <w:rsid w:val="005E406A"/>
    <w:rsid w:val="005F5527"/>
    <w:rsid w:val="006629C8"/>
    <w:rsid w:val="006E3F35"/>
    <w:rsid w:val="007001DE"/>
    <w:rsid w:val="00744D2D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B7E70"/>
    <w:rsid w:val="008C5EC2"/>
    <w:rsid w:val="00900580"/>
    <w:rsid w:val="00975EDF"/>
    <w:rsid w:val="009819E5"/>
    <w:rsid w:val="00983D7A"/>
    <w:rsid w:val="00997C19"/>
    <w:rsid w:val="009B350C"/>
    <w:rsid w:val="009E4B1D"/>
    <w:rsid w:val="00A3763A"/>
    <w:rsid w:val="00AB0639"/>
    <w:rsid w:val="00AB52C2"/>
    <w:rsid w:val="00AE021A"/>
    <w:rsid w:val="00AE4782"/>
    <w:rsid w:val="00B03B63"/>
    <w:rsid w:val="00B414C8"/>
    <w:rsid w:val="00B8794E"/>
    <w:rsid w:val="00BB053A"/>
    <w:rsid w:val="00BD1C2B"/>
    <w:rsid w:val="00BE6334"/>
    <w:rsid w:val="00C709B0"/>
    <w:rsid w:val="00C91E33"/>
    <w:rsid w:val="00CA76D9"/>
    <w:rsid w:val="00CB10E6"/>
    <w:rsid w:val="00CB1F08"/>
    <w:rsid w:val="00D17850"/>
    <w:rsid w:val="00D44036"/>
    <w:rsid w:val="00D97DA0"/>
    <w:rsid w:val="00DF1634"/>
    <w:rsid w:val="00E20CA5"/>
    <w:rsid w:val="00E21648"/>
    <w:rsid w:val="00E41FAE"/>
    <w:rsid w:val="00E77C00"/>
    <w:rsid w:val="00E77D69"/>
    <w:rsid w:val="00E8046C"/>
    <w:rsid w:val="00EB0441"/>
    <w:rsid w:val="00EC05B7"/>
    <w:rsid w:val="00F04E13"/>
    <w:rsid w:val="00F346F8"/>
    <w:rsid w:val="00F41CAA"/>
    <w:rsid w:val="00F625C3"/>
    <w:rsid w:val="00F84ECC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3017-B42E-4EEE-ACC1-7F95E931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4</cp:revision>
  <cp:lastPrinted>2025-01-23T07:07:00Z</cp:lastPrinted>
  <dcterms:created xsi:type="dcterms:W3CDTF">2025-01-23T06:52:00Z</dcterms:created>
  <dcterms:modified xsi:type="dcterms:W3CDTF">2025-01-23T07:08:00Z</dcterms:modified>
</cp:coreProperties>
</file>