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A5AE3" w:rsidRDefault="005A5AE3" w:rsidP="005A5AE3">
      <w:pPr>
        <w:pStyle w:val="1"/>
        <w:jc w:val="center"/>
        <w:rPr>
          <w:sz w:val="28"/>
        </w:rPr>
      </w:pPr>
      <w:r>
        <w:object w:dxaOrig="108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0.75pt" o:ole="">
            <v:imagedata r:id="rId4" o:title=""/>
          </v:shape>
          <o:OLEObject Type="Embed" ProgID="PBrush" ShapeID="_x0000_i1025" DrawAspect="Content" ObjectID="_1825493401" r:id="rId5"/>
        </w:object>
      </w:r>
    </w:p>
    <w:p w:rsidR="005A5AE3" w:rsidRDefault="005A5AE3" w:rsidP="005A5AE3">
      <w:pPr>
        <w:pStyle w:val="1"/>
        <w:rPr>
          <w:sz w:val="28"/>
        </w:rPr>
      </w:pPr>
      <w:r>
        <w:rPr>
          <w:sz w:val="28"/>
        </w:rPr>
        <w:t>дело № 3а-492/2025</w:t>
      </w:r>
    </w:p>
    <w:p w:rsidR="005A5AE3" w:rsidRDefault="005A5AE3" w:rsidP="005A5AE3">
      <w:pPr>
        <w:jc w:val="right"/>
        <w:rPr>
          <w:sz w:val="28"/>
          <w:szCs w:val="28"/>
        </w:rPr>
      </w:pPr>
      <w:r>
        <w:rPr>
          <w:sz w:val="28"/>
          <w:szCs w:val="28"/>
        </w:rPr>
        <w:t>16OS0000-01-2025-000142-24</w:t>
      </w:r>
    </w:p>
    <w:p w:rsidR="005A5AE3" w:rsidRDefault="005A5AE3" w:rsidP="005A5AE3">
      <w:pPr>
        <w:jc w:val="right"/>
        <w:rPr>
          <w:sz w:val="28"/>
          <w:szCs w:val="28"/>
        </w:rPr>
      </w:pPr>
    </w:p>
    <w:p w:rsidR="005A5AE3" w:rsidRDefault="005A5AE3" w:rsidP="005A5AE3">
      <w:pPr>
        <w:jc w:val="center"/>
        <w:rPr>
          <w:sz w:val="28"/>
        </w:rPr>
      </w:pPr>
      <w:r>
        <w:rPr>
          <w:sz w:val="28"/>
        </w:rPr>
        <w:t>РЕШЕНИЕ</w:t>
      </w:r>
    </w:p>
    <w:p w:rsidR="005A5AE3" w:rsidRDefault="005A5AE3" w:rsidP="005A5AE3">
      <w:pPr>
        <w:jc w:val="center"/>
        <w:rPr>
          <w:sz w:val="28"/>
        </w:rPr>
      </w:pPr>
      <w:r>
        <w:rPr>
          <w:sz w:val="28"/>
        </w:rPr>
        <w:t xml:space="preserve">ИМЕНЕМ РОССИЙСКОЙ ФЕДЕРАЦИИ </w:t>
      </w:r>
    </w:p>
    <w:p w:rsidR="005A5AE3" w:rsidRDefault="005A5AE3" w:rsidP="005A5AE3">
      <w:pPr>
        <w:pStyle w:val="a4"/>
        <w:rPr>
          <w:sz w:val="28"/>
        </w:rPr>
      </w:pPr>
    </w:p>
    <w:p w:rsidR="005A5AE3" w:rsidRDefault="005A5AE3" w:rsidP="005A5AE3">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20 мая 2025 года </w:t>
      </w:r>
    </w:p>
    <w:p w:rsidR="005A5AE3" w:rsidRDefault="005A5AE3" w:rsidP="005A5AE3">
      <w:pPr>
        <w:pStyle w:val="a4"/>
        <w:rPr>
          <w:sz w:val="28"/>
        </w:rPr>
      </w:pPr>
    </w:p>
    <w:p w:rsidR="005A5AE3" w:rsidRDefault="005A5AE3" w:rsidP="005A5AE3">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5A5AE3" w:rsidRDefault="005A5AE3" w:rsidP="005A5AE3">
      <w:pPr>
        <w:pStyle w:val="a6"/>
        <w:rPr>
          <w:sz w:val="28"/>
        </w:rPr>
      </w:pPr>
      <w:r>
        <w:rPr>
          <w:sz w:val="28"/>
        </w:rPr>
        <w:t>при секретаре – помощнике судьи Фазлутдиновой А.А.,</w:t>
      </w:r>
    </w:p>
    <w:p w:rsidR="005A5AE3" w:rsidRDefault="005A5AE3" w:rsidP="005A5AE3">
      <w:pPr>
        <w:pStyle w:val="a6"/>
        <w:rPr>
          <w:sz w:val="28"/>
        </w:rPr>
      </w:pPr>
      <w:r>
        <w:rPr>
          <w:sz w:val="28"/>
        </w:rPr>
        <w:t xml:space="preserve">с участием прокурора прокуратуры Республики Татарстан Золина И.А., </w:t>
      </w:r>
    </w:p>
    <w:p w:rsidR="005A5AE3" w:rsidRDefault="005A5AE3" w:rsidP="005A5AE3">
      <w:pPr>
        <w:pStyle w:val="a6"/>
        <w:rPr>
          <w:sz w:val="28"/>
          <w:szCs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акционерного общества «Татэнерго» к Государственному комитету Республики Татарстан по тарифам о признании не действующими в части постановлений от 15 декабря 2023 года № 721-77/тэ-2023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Набережные Челны, на 2024-2028 годы», от 20 декабря 2024 года № 736-123/тэ-2024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Набережные Челны, установленных постановлением Государственного комитета Республики Татарстан по тарифам 15 декабря 2023 года № 721-77/тэ-2023», возложении обязанности принять новый нормативный правовой акт,</w:t>
      </w:r>
    </w:p>
    <w:p w:rsidR="005A5AE3" w:rsidRDefault="005A5AE3" w:rsidP="005A5AE3">
      <w:pPr>
        <w:pStyle w:val="a4"/>
        <w:ind w:firstLine="720"/>
        <w:rPr>
          <w:sz w:val="28"/>
        </w:rPr>
      </w:pPr>
    </w:p>
    <w:p w:rsidR="005A5AE3" w:rsidRDefault="005A5AE3" w:rsidP="005A5AE3">
      <w:pPr>
        <w:pStyle w:val="a4"/>
        <w:jc w:val="center"/>
        <w:rPr>
          <w:sz w:val="28"/>
        </w:rPr>
      </w:pPr>
      <w:r>
        <w:rPr>
          <w:sz w:val="28"/>
        </w:rPr>
        <w:t>УСТАНОВИЛ:</w:t>
      </w:r>
    </w:p>
    <w:p w:rsidR="005A5AE3" w:rsidRDefault="005A5AE3" w:rsidP="005A5AE3">
      <w:pPr>
        <w:pStyle w:val="a4"/>
        <w:ind w:firstLine="720"/>
        <w:rPr>
          <w:sz w:val="28"/>
          <w:szCs w:val="28"/>
        </w:rPr>
      </w:pPr>
    </w:p>
    <w:p w:rsidR="005A5AE3" w:rsidRDefault="005A5AE3" w:rsidP="005A5AE3">
      <w:pPr>
        <w:adjustRightInd w:val="0"/>
        <w:ind w:firstLine="709"/>
        <w:jc w:val="both"/>
        <w:rPr>
          <w:kern w:val="0"/>
          <w:sz w:val="28"/>
          <w:szCs w:val="28"/>
        </w:rPr>
      </w:pPr>
      <w:r>
        <w:rPr>
          <w:kern w:val="0"/>
          <w:sz w:val="28"/>
          <w:szCs w:val="28"/>
        </w:rPr>
        <w:t>Постановлением Г</w:t>
      </w:r>
      <w:r>
        <w:rPr>
          <w:sz w:val="28"/>
          <w:szCs w:val="28"/>
        </w:rPr>
        <w:t xml:space="preserve">осударственного комитета Республики Татарстан по тарифам (далее также Госкомитет, тарифный орган) от 15 декабря 2023 года № 721-77/тэ-2023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Набережные Челны, на 2024-2028 годы» установлены долгосрочные тарифы на тепловую энергию, поставляемую акционерным обществом (далее – АО) «Татэнерго» потребителям, другим теплоснабжающим организациям города Набережные Челны, на 2024-2028 годы </w:t>
      </w:r>
      <w:r>
        <w:rPr>
          <w:kern w:val="0"/>
          <w:sz w:val="28"/>
          <w:szCs w:val="28"/>
        </w:rPr>
        <w:t xml:space="preserve">с календарной разбивкой согласно приложению 1 </w:t>
      </w:r>
      <w:r>
        <w:rPr>
          <w:sz w:val="28"/>
          <w:szCs w:val="28"/>
        </w:rPr>
        <w:t xml:space="preserve">к этому постановлению, а также 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на 2024 - 2028 годы согласно приложению 2. </w:t>
      </w:r>
    </w:p>
    <w:p w:rsidR="005A5AE3" w:rsidRDefault="005A5AE3" w:rsidP="005A5AE3">
      <w:pPr>
        <w:adjustRightInd w:val="0"/>
        <w:ind w:firstLine="709"/>
        <w:jc w:val="both"/>
        <w:rPr>
          <w:kern w:val="0"/>
          <w:sz w:val="28"/>
          <w:szCs w:val="28"/>
        </w:rPr>
      </w:pPr>
      <w:r>
        <w:rPr>
          <w:kern w:val="0"/>
          <w:sz w:val="28"/>
          <w:szCs w:val="28"/>
        </w:rPr>
        <w:lastRenderedPageBreak/>
        <w:t>Данное постановление зарегистрировано в Министерстве юстиции Республики Татарстан 21 декабря 2023 года за № 12277, опубликовано на официальном портале правовой информации Республики Татарстан http://pravo.tatarstan.ru 21 декабря 2023 года.</w:t>
      </w:r>
    </w:p>
    <w:p w:rsidR="005A5AE3" w:rsidRDefault="005A5AE3" w:rsidP="005A5AE3">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15 декабря 2023 года № 721-77/тэ-2023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5A5AE3" w:rsidRDefault="005A5AE3" w:rsidP="005A5AE3">
      <w:pPr>
        <w:adjustRightInd w:val="0"/>
        <w:ind w:firstLine="709"/>
        <w:jc w:val="both"/>
        <w:rPr>
          <w:sz w:val="28"/>
          <w:szCs w:val="28"/>
        </w:rPr>
      </w:pPr>
      <w:r>
        <w:rPr>
          <w:sz w:val="28"/>
          <w:szCs w:val="28"/>
        </w:rPr>
        <w:t>в период с 1 января 2024 года по 30 июня 2024 года в размере 1744,38 рубля за Гкал, в период с 1 июля 2024 года по 31 декабря 2024 года - в размере 1932,75 рубля за Гкал;</w:t>
      </w:r>
    </w:p>
    <w:p w:rsidR="005A5AE3" w:rsidRDefault="005A5AE3" w:rsidP="005A5AE3">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5A5AE3" w:rsidRDefault="005A5AE3" w:rsidP="005A5AE3">
      <w:pPr>
        <w:adjustRightInd w:val="0"/>
        <w:ind w:firstLine="709"/>
        <w:jc w:val="both"/>
        <w:rPr>
          <w:sz w:val="28"/>
          <w:szCs w:val="28"/>
        </w:rPr>
      </w:pPr>
      <w:r>
        <w:rPr>
          <w:sz w:val="28"/>
          <w:szCs w:val="28"/>
        </w:rPr>
        <w:t xml:space="preserve">в период с 1 января 2024 года по 30 июня 2024 года в размере 2093,26 рубля за Гкал, в период с 1 июля 2024 года по 31 декабря 2024 года - в размере 2319,30 рубля за Гкал (Приложение 1). </w:t>
      </w:r>
    </w:p>
    <w:p w:rsidR="005A5AE3" w:rsidRDefault="005A5AE3" w:rsidP="005A5AE3">
      <w:pPr>
        <w:adjustRightInd w:val="0"/>
        <w:ind w:firstLine="709"/>
        <w:jc w:val="both"/>
        <w:rPr>
          <w:sz w:val="28"/>
          <w:szCs w:val="28"/>
        </w:rPr>
      </w:pPr>
      <w:r>
        <w:rPr>
          <w:sz w:val="28"/>
          <w:szCs w:val="28"/>
        </w:rPr>
        <w:t>Базовый уровень операционных расходов на 2024 год установлен в размере 739 276,09 тысячи рублей.</w:t>
      </w:r>
    </w:p>
    <w:p w:rsidR="005A5AE3" w:rsidRDefault="005A5AE3" w:rsidP="005A5AE3">
      <w:pPr>
        <w:adjustRightInd w:val="0"/>
        <w:ind w:firstLine="709"/>
        <w:jc w:val="both"/>
        <w:rPr>
          <w:kern w:val="0"/>
          <w:sz w:val="28"/>
          <w:szCs w:val="28"/>
        </w:rPr>
      </w:pPr>
      <w:r>
        <w:rPr>
          <w:kern w:val="0"/>
          <w:sz w:val="28"/>
          <w:szCs w:val="28"/>
        </w:rPr>
        <w:t xml:space="preserve">Постановлением </w:t>
      </w:r>
      <w:r>
        <w:rPr>
          <w:sz w:val="28"/>
          <w:szCs w:val="28"/>
        </w:rPr>
        <w:t xml:space="preserve">Госкомитета от 20 декабря 2024 года № 736-123/тэ-2024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Набережные Челны, установленных постановлением Государственного комитета Республики Татарстан по тарифам 15 декабря 2023 года № 721-77/тэ-2023» установлены долгосрочные тарифы на тепловую энергию, поставляемую АО «Татэнерго» потребителям, другим теплоснабжающим организациям города Набережные Челны, на 2025 год </w:t>
      </w:r>
      <w:r>
        <w:rPr>
          <w:kern w:val="0"/>
          <w:sz w:val="28"/>
          <w:szCs w:val="28"/>
        </w:rPr>
        <w:t xml:space="preserve">с календарной разбивкой согласно приложению 1 </w:t>
      </w:r>
      <w:r>
        <w:rPr>
          <w:sz w:val="28"/>
          <w:szCs w:val="28"/>
        </w:rPr>
        <w:t xml:space="preserve">к этому постановлению. </w:t>
      </w:r>
    </w:p>
    <w:p w:rsidR="005A5AE3" w:rsidRDefault="005A5AE3" w:rsidP="005A5AE3">
      <w:pPr>
        <w:adjustRightInd w:val="0"/>
        <w:ind w:firstLine="709"/>
        <w:jc w:val="both"/>
        <w:rPr>
          <w:kern w:val="0"/>
          <w:sz w:val="28"/>
          <w:szCs w:val="28"/>
        </w:rPr>
      </w:pPr>
      <w:r>
        <w:rPr>
          <w:kern w:val="0"/>
          <w:sz w:val="28"/>
          <w:szCs w:val="28"/>
        </w:rPr>
        <w:t>Указанное постановление зарегистрировано в Министерстве юстиции Республики Татарстан 21 декабря 2024 года за № 13927, опубликовано на официальном портале правовой информации Республики Татарстан http://pravo.tatarstan.ru 21 декабря 2024 года.</w:t>
      </w:r>
    </w:p>
    <w:p w:rsidR="005A5AE3" w:rsidRDefault="005A5AE3" w:rsidP="005A5AE3">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от 20 декабря 2024 года № 733-123/тэ-2024 определены показатели одноставочного тарифа для потребителей АО «Татэнерго» </w:t>
      </w:r>
      <w:r>
        <w:rPr>
          <w:kern w:val="0"/>
          <w:sz w:val="28"/>
          <w:szCs w:val="28"/>
        </w:rPr>
        <w:t xml:space="preserve">в случае отсутствия дифференциации тарифов по схеме подключения </w:t>
      </w:r>
      <w:r>
        <w:rPr>
          <w:sz w:val="28"/>
          <w:szCs w:val="28"/>
        </w:rPr>
        <w:t>(вид теплоносителя – вода)</w:t>
      </w:r>
      <w:r>
        <w:rPr>
          <w:kern w:val="0"/>
          <w:sz w:val="28"/>
          <w:szCs w:val="28"/>
        </w:rPr>
        <w:t>, помимо прочих:</w:t>
      </w:r>
      <w:r>
        <w:rPr>
          <w:sz w:val="28"/>
          <w:szCs w:val="28"/>
        </w:rPr>
        <w:t xml:space="preserve"> </w:t>
      </w:r>
    </w:p>
    <w:p w:rsidR="005A5AE3" w:rsidRDefault="005A5AE3" w:rsidP="005A5AE3">
      <w:pPr>
        <w:adjustRightInd w:val="0"/>
        <w:ind w:firstLine="709"/>
        <w:jc w:val="both"/>
        <w:rPr>
          <w:sz w:val="28"/>
          <w:szCs w:val="28"/>
        </w:rPr>
      </w:pPr>
      <w:r>
        <w:rPr>
          <w:sz w:val="28"/>
          <w:szCs w:val="28"/>
        </w:rPr>
        <w:t>в период с 1 января 2025 года по 30 июня 2025 года в размере 1932,75 рубля за Гкал, в период с 1 июля 2025 года по 31 декабря 2025 года - в размере 2329,33 рубля за Гкал;</w:t>
      </w:r>
    </w:p>
    <w:p w:rsidR="005A5AE3" w:rsidRDefault="005A5AE3" w:rsidP="005A5AE3">
      <w:pPr>
        <w:adjustRightInd w:val="0"/>
        <w:ind w:firstLine="709"/>
        <w:jc w:val="both"/>
        <w:rPr>
          <w:sz w:val="28"/>
          <w:szCs w:val="28"/>
        </w:rPr>
      </w:pPr>
      <w:r>
        <w:rPr>
          <w:sz w:val="28"/>
          <w:szCs w:val="28"/>
        </w:rPr>
        <w:t>для населения (с учетом налога на добавленную стоимость)</w:t>
      </w:r>
      <w:r>
        <w:rPr>
          <w:kern w:val="0"/>
          <w:sz w:val="28"/>
          <w:szCs w:val="28"/>
        </w:rPr>
        <w:t>:</w:t>
      </w:r>
      <w:r>
        <w:rPr>
          <w:sz w:val="28"/>
          <w:szCs w:val="28"/>
        </w:rPr>
        <w:t xml:space="preserve"> </w:t>
      </w:r>
    </w:p>
    <w:p w:rsidR="005A5AE3" w:rsidRDefault="005A5AE3" w:rsidP="005A5AE3">
      <w:pPr>
        <w:adjustRightInd w:val="0"/>
        <w:ind w:firstLine="709"/>
        <w:jc w:val="both"/>
        <w:rPr>
          <w:sz w:val="28"/>
          <w:szCs w:val="28"/>
        </w:rPr>
      </w:pPr>
      <w:r>
        <w:rPr>
          <w:sz w:val="28"/>
          <w:szCs w:val="28"/>
        </w:rPr>
        <w:t xml:space="preserve">в период с 1 января 2025 года по 30 июня 2025 года в размере 2319,30 рубля за Гкал, в период с 1 июля 2025 года по 31 декабря 2025 года - в размере 2795,30 рубля за Гкал (Приложение 1). </w:t>
      </w:r>
    </w:p>
    <w:p w:rsidR="005A5AE3" w:rsidRDefault="005A5AE3" w:rsidP="005A5AE3">
      <w:pPr>
        <w:adjustRightInd w:val="0"/>
        <w:ind w:firstLine="709"/>
        <w:jc w:val="both"/>
        <w:rPr>
          <w:sz w:val="28"/>
          <w:szCs w:val="28"/>
        </w:rPr>
      </w:pPr>
      <w:r>
        <w:rPr>
          <w:sz w:val="28"/>
          <w:szCs w:val="28"/>
        </w:rPr>
        <w:t xml:space="preserve">АО «Татэнерго» обратилось в </w:t>
      </w:r>
      <w:r>
        <w:rPr>
          <w:sz w:val="28"/>
        </w:rPr>
        <w:t xml:space="preserve">Верховный Суд Республики Татарстан </w:t>
      </w:r>
      <w:r>
        <w:rPr>
          <w:sz w:val="28"/>
          <w:szCs w:val="28"/>
        </w:rPr>
        <w:t xml:space="preserve">с административным исковым заявлением о признании недействующими </w:t>
      </w:r>
      <w:r>
        <w:rPr>
          <w:sz w:val="28"/>
          <w:szCs w:val="28"/>
        </w:rPr>
        <w:lastRenderedPageBreak/>
        <w:t xml:space="preserve">постановлений Государственного комитета Республики Татарстан по тарифам от 15 декабря 2023 года № 721-77/тэ-2023, от 20 декабря 2024 года № 736-123/тэ-2024. </w:t>
      </w:r>
    </w:p>
    <w:p w:rsidR="005A5AE3" w:rsidRDefault="005A5AE3" w:rsidP="005A5AE3">
      <w:pPr>
        <w:adjustRightInd w:val="0"/>
        <w:ind w:firstLine="709"/>
        <w:jc w:val="both"/>
        <w:rPr>
          <w:sz w:val="28"/>
          <w:szCs w:val="28"/>
        </w:rPr>
      </w:pPr>
      <w:r>
        <w:rPr>
          <w:sz w:val="28"/>
          <w:szCs w:val="28"/>
        </w:rPr>
        <w:t>По мнению административного истца, оспариваемые постановления Государственного комитета Республики Татарстан по тарифам</w:t>
      </w:r>
      <w:r>
        <w:rPr>
          <w:kern w:val="0"/>
          <w:sz w:val="28"/>
          <w:szCs w:val="28"/>
        </w:rPr>
        <w:t xml:space="preserve"> противоречат Федеральному </w:t>
      </w:r>
      <w:hyperlink r:id="rId6" w:history="1">
        <w:r>
          <w:rPr>
            <w:rStyle w:val="a3"/>
            <w:kern w:val="0"/>
            <w:sz w:val="28"/>
            <w:szCs w:val="28"/>
          </w:rPr>
          <w:t>закон</w:t>
        </w:r>
      </w:hyperlink>
      <w:r>
        <w:rPr>
          <w:kern w:val="0"/>
          <w:sz w:val="28"/>
          <w:szCs w:val="28"/>
        </w:rPr>
        <w:t xml:space="preserve">у от 27 июля 2010 года № 190-ФЗ «О теплоснабжении», Основам ценообразования и Правилам регулирования в сфере теплоснабжения, утвержденным Постановлением Правительства Российской Федерации № 1075 от 22 октября 2012 года «О ценообразовании в сфере теплоснабжения», Методическим указаниям по расчету регулируемых цен (тарифов) в сфере теплоснабжения, утвержденным Приказом Федеральной службы по тарифам от 13 июня 2013 года № 760-э. </w:t>
      </w:r>
    </w:p>
    <w:p w:rsidR="005A5AE3" w:rsidRDefault="005A5AE3" w:rsidP="005A5AE3">
      <w:pPr>
        <w:adjustRightInd w:val="0"/>
        <w:ind w:firstLine="709"/>
        <w:jc w:val="both"/>
        <w:rPr>
          <w:sz w:val="28"/>
          <w:szCs w:val="28"/>
        </w:rPr>
      </w:pPr>
      <w:r>
        <w:rPr>
          <w:sz w:val="28"/>
          <w:szCs w:val="28"/>
        </w:rPr>
        <w:t xml:space="preserve">Административный истец полагает, что Госкомитет установил оспариваемые тарифы на уровне значительно ниже их экономически обоснованного размера, поскольку необходимая валовая выручка (далее – НВВ), определенная органом регулирования, не возмещает расходы и не обеспечивает надлежащее содержание и эксплуатацию объектов теплоснабжения. </w:t>
      </w:r>
    </w:p>
    <w:p w:rsidR="005A5AE3" w:rsidRDefault="005A5AE3" w:rsidP="005A5AE3">
      <w:pPr>
        <w:adjustRightInd w:val="0"/>
        <w:ind w:firstLine="709"/>
        <w:jc w:val="both"/>
        <w:rPr>
          <w:sz w:val="28"/>
          <w:szCs w:val="28"/>
        </w:rPr>
      </w:pPr>
      <w:r>
        <w:rPr>
          <w:sz w:val="28"/>
          <w:szCs w:val="28"/>
        </w:rPr>
        <w:t xml:space="preserve">Тарифным органом, с точки зрения регулируемой организации, необоснованно частично исключены из необходимой валовой выручки (далее – НВВ) затраты на оплату труда за 2024-2025 годы с учетом единого социального налога; незаконно снижены в НВВ в 2025 году затраты по договорам аренды тепловых сетей; неправомерно снижена в 2025 году величина амортизационных отчислений; неверно исключены из расчета корректировки, определяемой с учетом отклонения фактических значений параметров расчета тарифов от значений, учтенных при установлении тарифов, фактический налог на прибыль на величину фактических расходов, относимых на прибыль; необоснованно снижены расходы по сомнительным долгам; неверно учтена в НВВ величина расчетной предпринимательской прибыли в части источников по производству тепловой энергии в комбинированном режиме (Набережночелниская ТЭЦ). </w:t>
      </w:r>
    </w:p>
    <w:p w:rsidR="005A5AE3" w:rsidRDefault="005A5AE3" w:rsidP="005A5AE3">
      <w:pPr>
        <w:pStyle w:val="a4"/>
        <w:ind w:firstLine="709"/>
        <w:rPr>
          <w:sz w:val="28"/>
        </w:rPr>
      </w:pPr>
      <w:r>
        <w:rPr>
          <w:sz w:val="28"/>
        </w:rPr>
        <w:t xml:space="preserve">В судебном заседании представители </w:t>
      </w:r>
      <w:r>
        <w:rPr>
          <w:sz w:val="28"/>
          <w:szCs w:val="28"/>
        </w:rPr>
        <w:t>АО «Татэнерго» Зарипова Ю.Н., Борисова Т.Е., Коломенскова М.А., Газизуллина Г.Р.</w:t>
      </w:r>
      <w:r>
        <w:rPr>
          <w:sz w:val="28"/>
        </w:rPr>
        <w:t xml:space="preserve"> административный иск поддержали.</w:t>
      </w:r>
      <w:r>
        <w:rPr>
          <w:sz w:val="28"/>
          <w:szCs w:val="28"/>
        </w:rPr>
        <w:t xml:space="preserve"> </w:t>
      </w:r>
      <w:r>
        <w:rPr>
          <w:sz w:val="28"/>
        </w:rPr>
        <w:t xml:space="preserve">  </w:t>
      </w:r>
    </w:p>
    <w:p w:rsidR="005A5AE3" w:rsidRDefault="005A5AE3" w:rsidP="005A5AE3">
      <w:pPr>
        <w:pStyle w:val="a4"/>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Насырова А.З. административный иск </w:t>
      </w:r>
      <w:r>
        <w:rPr>
          <w:sz w:val="28"/>
        </w:rPr>
        <w:t>не признали.</w:t>
      </w:r>
    </w:p>
    <w:p w:rsidR="005A5AE3" w:rsidRDefault="005A5AE3" w:rsidP="005A5AE3">
      <w:pPr>
        <w:pStyle w:val="a4"/>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Pr>
          <w:kern w:val="0"/>
          <w:sz w:val="28"/>
          <w:szCs w:val="28"/>
        </w:rPr>
        <w:t xml:space="preserve">На основании </w:t>
      </w:r>
      <w:hyperlink r:id="rId7" w:history="1">
        <w:r>
          <w:rPr>
            <w:rStyle w:val="a3"/>
            <w:kern w:val="0"/>
            <w:sz w:val="28"/>
            <w:szCs w:val="28"/>
          </w:rPr>
          <w:t>части 5 статьи 213</w:t>
        </w:r>
      </w:hyperlink>
      <w:r>
        <w:rPr>
          <w:kern w:val="0"/>
          <w:sz w:val="28"/>
          <w:szCs w:val="28"/>
        </w:rPr>
        <w:t xml:space="preserve"> Кодекса </w:t>
      </w:r>
      <w:r>
        <w:rPr>
          <w:kern w:val="0"/>
          <w:sz w:val="28"/>
          <w:szCs w:val="28"/>
        </w:rPr>
        <w:lastRenderedPageBreak/>
        <w:t>административного судопроизводства Российской Федерации суд находит возможным рассмотрение дела в его отсутствие.</w:t>
      </w:r>
    </w:p>
    <w:p w:rsidR="005A5AE3" w:rsidRDefault="005A5AE3" w:rsidP="005A5AE3">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xml:space="preserve">, изучив доказательства, имеющиеся в материалах дела, заслушав заключение прокурора, полагавшего </w:t>
      </w:r>
    </w:p>
    <w:p w:rsidR="005A5AE3" w:rsidRDefault="005A5AE3" w:rsidP="005A5AE3">
      <w:pPr>
        <w:pStyle w:val="ConsPlusNormal"/>
        <w:jc w:val="both"/>
      </w:pPr>
      <w:r>
        <w:t>административный иск подлежащим частичному удовлетворению, оценив нормативные правовые акты на их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5A5AE3" w:rsidRDefault="005A5AE3" w:rsidP="005A5AE3">
      <w:pPr>
        <w:adjustRightInd w:val="0"/>
        <w:ind w:firstLine="709"/>
        <w:jc w:val="both"/>
        <w:rPr>
          <w:kern w:val="0"/>
          <w:sz w:val="28"/>
          <w:szCs w:val="28"/>
        </w:rPr>
      </w:pPr>
      <w:r>
        <w:rPr>
          <w:kern w:val="0"/>
          <w:sz w:val="28"/>
          <w:szCs w:val="28"/>
        </w:rPr>
        <w:t xml:space="preserve">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полномочия органов государственной власти, органов местного самоуправления поселений, городских округов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устанавливает Федеральный </w:t>
      </w:r>
      <w:hyperlink r:id="rId8" w:history="1">
        <w:r>
          <w:rPr>
            <w:rStyle w:val="a3"/>
            <w:kern w:val="0"/>
            <w:sz w:val="28"/>
            <w:szCs w:val="28"/>
          </w:rPr>
          <w:t>закон</w:t>
        </w:r>
      </w:hyperlink>
      <w:r>
        <w:rPr>
          <w:kern w:val="0"/>
          <w:sz w:val="28"/>
          <w:szCs w:val="28"/>
        </w:rPr>
        <w:t xml:space="preserve"> от 27 июля 2010 года № 190-ФЗ «О теплоснабжении». </w:t>
      </w:r>
    </w:p>
    <w:p w:rsidR="005A5AE3" w:rsidRDefault="005A5AE3" w:rsidP="005A5AE3">
      <w:pPr>
        <w:adjustRightInd w:val="0"/>
        <w:ind w:firstLine="709"/>
        <w:jc w:val="both"/>
        <w:rPr>
          <w:kern w:val="0"/>
          <w:sz w:val="28"/>
          <w:szCs w:val="28"/>
        </w:rPr>
      </w:pPr>
      <w:r>
        <w:rPr>
          <w:kern w:val="0"/>
          <w:sz w:val="28"/>
          <w:szCs w:val="28"/>
        </w:rPr>
        <w:t xml:space="preserve">Постановлением Правительства Российской Федерации от 22 октября 2012 года № 1075 утверждены </w:t>
      </w:r>
      <w:hyperlink r:id="rId9" w:history="1">
        <w:r>
          <w:rPr>
            <w:rStyle w:val="a3"/>
            <w:kern w:val="0"/>
            <w:sz w:val="28"/>
            <w:szCs w:val="28"/>
          </w:rPr>
          <w:t>Основы</w:t>
        </w:r>
      </w:hyperlink>
      <w:r>
        <w:rPr>
          <w:kern w:val="0"/>
          <w:sz w:val="28"/>
          <w:szCs w:val="28"/>
        </w:rPr>
        <w:t xml:space="preserve"> ценообразования в сфере теплоснабжения (далее - Основы ценообразования), </w:t>
      </w:r>
      <w:hyperlink r:id="rId10" w:history="1">
        <w:r>
          <w:rPr>
            <w:rStyle w:val="a3"/>
            <w:kern w:val="0"/>
            <w:sz w:val="28"/>
            <w:szCs w:val="28"/>
          </w:rPr>
          <w:t>Правила</w:t>
        </w:r>
      </w:hyperlink>
      <w:r>
        <w:rPr>
          <w:kern w:val="0"/>
          <w:sz w:val="28"/>
          <w:szCs w:val="28"/>
        </w:rPr>
        <w:t xml:space="preserve"> регулирования цен (тарифов) в сфере теплоснабжения (далее - Правила регулирования тарифов), которыми установлены основные принципы и методы определения цен (тарифов) на услуги по передаче тепловой энергии и теплоносителя, в том числе, органами исполнительной власти субъектов Российской Федерации в области государственного регулирования тарифов, тарифов на товары (работы, услуги) организаций, осуществляющих регулируемые виды деятельности в сфере теплоснабжения, тарифы которых подлежат государственному регулированию в соответствии с Федеральным </w:t>
      </w:r>
      <w:hyperlink r:id="rId11" w:history="1">
        <w:r>
          <w:rPr>
            <w:rStyle w:val="a3"/>
            <w:kern w:val="0"/>
            <w:sz w:val="28"/>
            <w:szCs w:val="28"/>
          </w:rPr>
          <w:t>законом</w:t>
        </w:r>
      </w:hyperlink>
      <w:r>
        <w:rPr>
          <w:kern w:val="0"/>
          <w:sz w:val="28"/>
          <w:szCs w:val="28"/>
        </w:rPr>
        <w:t xml:space="preserve"> от 27 июля 2010 года № 190-ФЗ, а также порядок установления регулируемых цен (тарифов) в сфере теплоснабжения.</w:t>
      </w:r>
    </w:p>
    <w:p w:rsidR="005A5AE3" w:rsidRDefault="005A5AE3" w:rsidP="005A5AE3">
      <w:pPr>
        <w:adjustRightInd w:val="0"/>
        <w:ind w:firstLine="709"/>
        <w:jc w:val="both"/>
        <w:rPr>
          <w:kern w:val="0"/>
          <w:sz w:val="28"/>
          <w:szCs w:val="28"/>
        </w:rPr>
      </w:pPr>
      <w:r>
        <w:rPr>
          <w:kern w:val="0"/>
          <w:sz w:val="28"/>
          <w:szCs w:val="28"/>
        </w:rPr>
        <w:t xml:space="preserve">На основании пункта 4 части 1 статьи 8 Федерального </w:t>
      </w:r>
      <w:hyperlink r:id="rId12" w:history="1">
        <w:r>
          <w:rPr>
            <w:rStyle w:val="a3"/>
            <w:kern w:val="0"/>
            <w:sz w:val="28"/>
            <w:szCs w:val="28"/>
          </w:rPr>
          <w:t>закон</w:t>
        </w:r>
      </w:hyperlink>
      <w:r>
        <w:rPr>
          <w:kern w:val="0"/>
          <w:sz w:val="28"/>
          <w:szCs w:val="28"/>
        </w:rPr>
        <w:t xml:space="preserve">а от 27 июля 2010 года № 190-ФЗ государственному регулированию в сфере теплоснабжения подлежат </w:t>
      </w:r>
      <w:r>
        <w:rPr>
          <w:rFonts w:eastAsia="Calibri"/>
          <w:kern w:val="0"/>
          <w:sz w:val="28"/>
          <w:szCs w:val="28"/>
        </w:rPr>
        <w:t>тарифы на тепловую энергию (мощность), поставляемую теплоснабжающими организациями потребителям, другим теплоснабжающим организациям</w:t>
      </w:r>
      <w:r>
        <w:rPr>
          <w:kern w:val="0"/>
          <w:sz w:val="28"/>
          <w:szCs w:val="28"/>
        </w:rPr>
        <w:t>.</w:t>
      </w:r>
    </w:p>
    <w:p w:rsidR="005A5AE3" w:rsidRDefault="005A5AE3" w:rsidP="005A5AE3">
      <w:pPr>
        <w:adjustRightInd w:val="0"/>
        <w:ind w:firstLine="709"/>
        <w:jc w:val="both"/>
        <w:rPr>
          <w:kern w:val="0"/>
          <w:sz w:val="28"/>
          <w:szCs w:val="28"/>
        </w:rPr>
      </w:pPr>
      <w:r>
        <w:rPr>
          <w:kern w:val="0"/>
          <w:sz w:val="28"/>
          <w:szCs w:val="28"/>
        </w:rPr>
        <w:t xml:space="preserve">Пунктом 1 части 3 статьи 7 Федерального </w:t>
      </w:r>
      <w:hyperlink r:id="rId13" w:history="1">
        <w:r>
          <w:rPr>
            <w:rStyle w:val="a3"/>
            <w:kern w:val="0"/>
            <w:sz w:val="28"/>
            <w:szCs w:val="28"/>
          </w:rPr>
          <w:t>закон</w:t>
        </w:r>
      </w:hyperlink>
      <w:r>
        <w:rPr>
          <w:kern w:val="0"/>
          <w:sz w:val="28"/>
          <w:szCs w:val="28"/>
        </w:rPr>
        <w:t xml:space="preserve">а от 27 июля 2010 года № 190-ФЗ к полномочиям органов исполнительной власти субъектов Российской Федерации в области государственного регулирования цен (тарифов) в сфере теплоснабжения отнесено установление </w:t>
      </w:r>
      <w:r>
        <w:rPr>
          <w:rFonts w:eastAsia="Calibri"/>
          <w:kern w:val="0"/>
          <w:sz w:val="28"/>
          <w:szCs w:val="28"/>
        </w:rPr>
        <w:t>тарифов на тепловую энергию (мощность), поставляемую теплоснабжающими организациями потребителям, другим теплоснабжающим организациям</w:t>
      </w:r>
      <w:r>
        <w:rPr>
          <w:kern w:val="0"/>
          <w:sz w:val="28"/>
          <w:szCs w:val="28"/>
        </w:rPr>
        <w:t>.</w:t>
      </w:r>
    </w:p>
    <w:p w:rsidR="005A5AE3" w:rsidRDefault="005A5AE3" w:rsidP="005A5AE3">
      <w:pPr>
        <w:adjustRightInd w:val="0"/>
        <w:ind w:firstLine="709"/>
        <w:jc w:val="both"/>
        <w:rPr>
          <w:kern w:val="0"/>
          <w:sz w:val="28"/>
          <w:szCs w:val="28"/>
        </w:rPr>
      </w:pPr>
      <w:r>
        <w:rPr>
          <w:kern w:val="0"/>
          <w:sz w:val="28"/>
          <w:szCs w:val="28"/>
        </w:rPr>
        <w:t xml:space="preserve">Полномочия по установлению тарифов в сфере теплоснабжения органом исполнительной власти Республики Татарстан - Кабинетом </w:t>
      </w:r>
      <w:r>
        <w:rPr>
          <w:kern w:val="0"/>
          <w:sz w:val="28"/>
          <w:szCs w:val="28"/>
        </w:rPr>
        <w:lastRenderedPageBreak/>
        <w:t xml:space="preserve">Министров Республики Татарстан - предоставлены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4.2.1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 468 от 15 июня 2010 года.</w:t>
      </w:r>
      <w:r>
        <w:rPr>
          <w:kern w:val="0"/>
          <w:sz w:val="28"/>
          <w:szCs w:val="28"/>
        </w:rPr>
        <w:t xml:space="preserve"> </w:t>
      </w:r>
    </w:p>
    <w:p w:rsidR="005A5AE3" w:rsidRDefault="005A5AE3" w:rsidP="005A5AE3">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5A5AE3" w:rsidRDefault="005A5AE3" w:rsidP="005A5AE3">
      <w:pPr>
        <w:adjustRightInd w:val="0"/>
        <w:ind w:firstLine="709"/>
        <w:jc w:val="both"/>
        <w:rPr>
          <w:kern w:val="0"/>
          <w:sz w:val="28"/>
          <w:szCs w:val="28"/>
        </w:rPr>
      </w:pPr>
      <w:r>
        <w:rPr>
          <w:kern w:val="0"/>
          <w:sz w:val="28"/>
          <w:szCs w:val="28"/>
        </w:rPr>
        <w:t xml:space="preserve">Согласно </w:t>
      </w:r>
      <w:hyperlink r:id="rId14" w:history="1">
        <w:r>
          <w:rPr>
            <w:rStyle w:val="a3"/>
            <w:kern w:val="0"/>
            <w:sz w:val="28"/>
            <w:szCs w:val="28"/>
          </w:rPr>
          <w:t>пунктам 12</w:t>
        </w:r>
      </w:hyperlink>
      <w:r>
        <w:rPr>
          <w:kern w:val="0"/>
          <w:sz w:val="28"/>
          <w:szCs w:val="28"/>
        </w:rPr>
        <w:t xml:space="preserve"> и </w:t>
      </w:r>
      <w:hyperlink r:id="rId15" w:history="1">
        <w:r>
          <w:rPr>
            <w:rStyle w:val="a3"/>
            <w:kern w:val="0"/>
            <w:sz w:val="28"/>
            <w:szCs w:val="28"/>
          </w:rPr>
          <w:t>13</w:t>
        </w:r>
      </w:hyperlink>
      <w:r>
        <w:rPr>
          <w:kern w:val="0"/>
          <w:sz w:val="28"/>
          <w:szCs w:val="28"/>
        </w:rPr>
        <w:t xml:space="preserve"> Правил регулирования установление тарифов производится органом регулирования тарифов путем открытия и рассмотрения дел об установлении тарифов, осуществляемого в том числе по предложению регулируемой организации, с приложением необходимых обосновывающих материалов, предусмотренных </w:t>
      </w:r>
      <w:hyperlink r:id="rId16" w:history="1">
        <w:r>
          <w:rPr>
            <w:rStyle w:val="a3"/>
            <w:kern w:val="0"/>
            <w:sz w:val="28"/>
            <w:szCs w:val="28"/>
          </w:rPr>
          <w:t>пунктами 15</w:t>
        </w:r>
      </w:hyperlink>
      <w:r>
        <w:rPr>
          <w:kern w:val="0"/>
          <w:sz w:val="28"/>
          <w:szCs w:val="28"/>
        </w:rPr>
        <w:t xml:space="preserve"> и </w:t>
      </w:r>
      <w:hyperlink r:id="rId17" w:history="1">
        <w:r>
          <w:rPr>
            <w:rStyle w:val="a3"/>
            <w:kern w:val="0"/>
            <w:sz w:val="28"/>
            <w:szCs w:val="28"/>
          </w:rPr>
          <w:t>16</w:t>
        </w:r>
      </w:hyperlink>
      <w:r>
        <w:rPr>
          <w:kern w:val="0"/>
          <w:sz w:val="28"/>
          <w:szCs w:val="28"/>
        </w:rPr>
        <w:t xml:space="preserve"> данных Правил.</w:t>
      </w:r>
    </w:p>
    <w:p w:rsidR="005A5AE3" w:rsidRDefault="005A5AE3" w:rsidP="005A5AE3">
      <w:pPr>
        <w:adjustRightInd w:val="0"/>
        <w:ind w:firstLine="709"/>
        <w:jc w:val="both"/>
        <w:rPr>
          <w:kern w:val="0"/>
          <w:sz w:val="28"/>
          <w:szCs w:val="28"/>
        </w:rPr>
      </w:pPr>
      <w:r>
        <w:rPr>
          <w:kern w:val="0"/>
          <w:sz w:val="28"/>
          <w:szCs w:val="28"/>
        </w:rPr>
        <w:t xml:space="preserve">Из материалов дела следует, что </w:t>
      </w:r>
      <w:r>
        <w:rPr>
          <w:sz w:val="28"/>
          <w:szCs w:val="28"/>
        </w:rPr>
        <w:t>АО «Татэнерго» 27</w:t>
      </w:r>
      <w:r>
        <w:rPr>
          <w:kern w:val="0"/>
          <w:sz w:val="28"/>
          <w:szCs w:val="28"/>
        </w:rPr>
        <w:t xml:space="preserve"> апреля 2023 года обратилось в орган регулирования - </w:t>
      </w:r>
      <w:r>
        <w:rPr>
          <w:sz w:val="28"/>
          <w:szCs w:val="28"/>
        </w:rPr>
        <w:t>Государственный комитет Республики Татарстан по тарифам -</w:t>
      </w:r>
      <w:r>
        <w:rPr>
          <w:kern w:val="0"/>
          <w:sz w:val="28"/>
          <w:szCs w:val="28"/>
        </w:rPr>
        <w:t xml:space="preserve"> с заявлением об открытии дела об установлении </w:t>
      </w:r>
      <w:r>
        <w:rPr>
          <w:sz w:val="28"/>
          <w:szCs w:val="28"/>
        </w:rPr>
        <w:t>тарифов на тепловую энергию, поставляемую АО «Татэнерго» потребителям, другим теплоснабжающим организациям города Набережные Челны, на 2024-2028 годы</w:t>
      </w:r>
      <w:r>
        <w:rPr>
          <w:kern w:val="0"/>
          <w:sz w:val="28"/>
          <w:szCs w:val="28"/>
        </w:rPr>
        <w:t xml:space="preserve">, приложив пакет обосновывающих материалов. </w:t>
      </w:r>
      <w:r>
        <w:rPr>
          <w:sz w:val="28"/>
          <w:szCs w:val="28"/>
        </w:rPr>
        <w:t xml:space="preserve">АО «Татэнерго» </w:t>
      </w:r>
      <w:r>
        <w:rPr>
          <w:kern w:val="0"/>
          <w:sz w:val="28"/>
          <w:szCs w:val="28"/>
        </w:rPr>
        <w:t>просило установить тарифы с применением метода индексации установленных тарифов.</w:t>
      </w:r>
    </w:p>
    <w:p w:rsidR="005A5AE3" w:rsidRDefault="005A5AE3" w:rsidP="005A5AE3">
      <w:pPr>
        <w:ind w:firstLine="709"/>
        <w:jc w:val="both"/>
        <w:rPr>
          <w:sz w:val="28"/>
          <w:szCs w:val="28"/>
        </w:rPr>
      </w:pPr>
      <w:r>
        <w:rPr>
          <w:sz w:val="28"/>
          <w:szCs w:val="28"/>
        </w:rPr>
        <w:t>Госкомитетом произведен анализ и расчет расходов (показателей), изложенных административным истцом, составлено экспертное заключение по результатам экспертизы предложений об установлении тарифов на тепловую энергию, поставляемую АО «Татэнерго» потребителям, другим теплоснабжающим организациям города Заинска, на 2024-2028 годы.</w:t>
      </w:r>
    </w:p>
    <w:p w:rsidR="005A5AE3" w:rsidRDefault="005A5AE3" w:rsidP="005A5AE3">
      <w:pPr>
        <w:ind w:firstLine="709"/>
        <w:jc w:val="both"/>
        <w:rPr>
          <w:kern w:val="0"/>
          <w:sz w:val="28"/>
          <w:szCs w:val="28"/>
        </w:rPr>
      </w:pPr>
      <w:r>
        <w:rPr>
          <w:sz w:val="28"/>
          <w:szCs w:val="28"/>
        </w:rPr>
        <w:t xml:space="preserve">15 декабря 2023 года органом регулирования на заседании правления (протокол от 15 декабря 2023 года № 59-ПР) рассмотрен вопрос </w:t>
      </w:r>
      <w:r>
        <w:rPr>
          <w:kern w:val="0"/>
          <w:sz w:val="28"/>
          <w:szCs w:val="28"/>
        </w:rPr>
        <w:t xml:space="preserve">об установлении тарифов </w:t>
      </w:r>
      <w:r>
        <w:rPr>
          <w:sz w:val="28"/>
          <w:szCs w:val="28"/>
        </w:rPr>
        <w:t>на тепловую энергию, поставляемую АО «Татэнерго» потребителям, другим теплоснабжающим организациям города Набережные Челны, на 2024-2028 годы</w:t>
      </w:r>
      <w:r>
        <w:rPr>
          <w:kern w:val="0"/>
          <w:sz w:val="28"/>
          <w:szCs w:val="28"/>
        </w:rPr>
        <w:t>, принят оспариваемый нормативный правовой акт.</w:t>
      </w:r>
      <w:r>
        <w:rPr>
          <w:sz w:val="28"/>
          <w:szCs w:val="28"/>
        </w:rPr>
        <w:t xml:space="preserve">     </w:t>
      </w:r>
      <w:r>
        <w:rPr>
          <w:kern w:val="0"/>
          <w:sz w:val="28"/>
          <w:szCs w:val="28"/>
        </w:rPr>
        <w:t xml:space="preserve">  </w:t>
      </w:r>
    </w:p>
    <w:p w:rsidR="005A5AE3" w:rsidRDefault="005A5AE3" w:rsidP="005A5AE3">
      <w:pPr>
        <w:adjustRightInd w:val="0"/>
        <w:ind w:firstLine="709"/>
        <w:jc w:val="both"/>
        <w:rPr>
          <w:kern w:val="0"/>
          <w:sz w:val="28"/>
          <w:szCs w:val="28"/>
        </w:rPr>
      </w:pPr>
      <w:r>
        <w:rPr>
          <w:kern w:val="0"/>
          <w:sz w:val="28"/>
          <w:szCs w:val="28"/>
        </w:rPr>
        <w:t xml:space="preserve">25 апреля 2024 года </w:t>
      </w:r>
      <w:r>
        <w:rPr>
          <w:sz w:val="28"/>
          <w:szCs w:val="28"/>
        </w:rPr>
        <w:t xml:space="preserve">АО «Татэнерго» </w:t>
      </w:r>
      <w:r>
        <w:rPr>
          <w:kern w:val="0"/>
          <w:sz w:val="28"/>
          <w:szCs w:val="28"/>
        </w:rPr>
        <w:t xml:space="preserve">обратилось в </w:t>
      </w:r>
      <w:r>
        <w:rPr>
          <w:sz w:val="28"/>
          <w:szCs w:val="28"/>
        </w:rPr>
        <w:t xml:space="preserve">Госкомитет </w:t>
      </w:r>
      <w:r>
        <w:rPr>
          <w:kern w:val="0"/>
          <w:sz w:val="28"/>
          <w:szCs w:val="28"/>
        </w:rPr>
        <w:t xml:space="preserve">с заявлением об открытии дела о корректировке установленных тарифов с применением метода индексации на тепловую энергию на 2025 год, приложив пакет обосновывающих материалов. </w:t>
      </w:r>
    </w:p>
    <w:p w:rsidR="005A5AE3" w:rsidRDefault="005A5AE3" w:rsidP="005A5AE3">
      <w:pPr>
        <w:adjustRightInd w:val="0"/>
        <w:ind w:firstLine="709"/>
        <w:jc w:val="both"/>
        <w:rPr>
          <w:kern w:val="0"/>
          <w:sz w:val="28"/>
          <w:szCs w:val="28"/>
        </w:rPr>
      </w:pPr>
      <w:r>
        <w:rPr>
          <w:kern w:val="0"/>
          <w:sz w:val="28"/>
          <w:szCs w:val="28"/>
        </w:rPr>
        <w:t>Приказом Госкомитета от 14 мая 2024 года № Пр-265/2024 открыто тарифное дело № 20-48/тэ-2024/к-2025 о корректировке тарифов на 2025 год. В отношении административного истца применен метод индексации установленных тарифов.</w:t>
      </w:r>
    </w:p>
    <w:p w:rsidR="005A5AE3" w:rsidRDefault="005A5AE3" w:rsidP="005A5AE3">
      <w:pPr>
        <w:adjustRightInd w:val="0"/>
        <w:ind w:firstLine="709"/>
        <w:jc w:val="both"/>
        <w:rPr>
          <w:kern w:val="0"/>
          <w:sz w:val="28"/>
          <w:szCs w:val="28"/>
        </w:rPr>
      </w:pPr>
      <w:r>
        <w:rPr>
          <w:kern w:val="0"/>
          <w:sz w:val="28"/>
          <w:szCs w:val="28"/>
        </w:rPr>
        <w:lastRenderedPageBreak/>
        <w:t xml:space="preserve">По результатам рассмотрения на заседании Правления Государственного комитета Республики Татарстан по тарифам 20 декабря 2024 года заявления </w:t>
      </w:r>
      <w:r>
        <w:rPr>
          <w:sz w:val="28"/>
          <w:szCs w:val="28"/>
        </w:rPr>
        <w:t xml:space="preserve">АО «Татэнерго» </w:t>
      </w:r>
      <w:r>
        <w:rPr>
          <w:kern w:val="0"/>
          <w:sz w:val="28"/>
          <w:szCs w:val="28"/>
        </w:rPr>
        <w:t>о</w:t>
      </w:r>
      <w:r>
        <w:rPr>
          <w:sz w:val="28"/>
          <w:szCs w:val="28"/>
        </w:rPr>
        <w:t xml:space="preserve"> корректировке на 2025 год долгосрочные тарифы на тепловую энергию, поставляемую АО «Татэнерго» потребителям, другим теплоснабжающим организациям города Набережные Челны</w:t>
      </w:r>
      <w:r>
        <w:rPr>
          <w:kern w:val="0"/>
          <w:sz w:val="28"/>
          <w:szCs w:val="28"/>
        </w:rPr>
        <w:t xml:space="preserve"> административным ответчиком принято оспариваемое постановление </w:t>
      </w:r>
      <w:r>
        <w:rPr>
          <w:sz w:val="28"/>
          <w:szCs w:val="28"/>
        </w:rPr>
        <w:t>от 20 декабря 2024 года № 736-123/тэ-2024</w:t>
      </w:r>
      <w:r>
        <w:rPr>
          <w:kern w:val="0"/>
          <w:sz w:val="28"/>
          <w:szCs w:val="28"/>
        </w:rPr>
        <w:t>.</w:t>
      </w:r>
    </w:p>
    <w:p w:rsidR="005A5AE3" w:rsidRDefault="005A5AE3" w:rsidP="005A5AE3">
      <w:pPr>
        <w:adjustRightInd w:val="0"/>
        <w:ind w:firstLine="709"/>
        <w:jc w:val="both"/>
        <w:rPr>
          <w:sz w:val="28"/>
          <w:szCs w:val="28"/>
        </w:rPr>
      </w:pPr>
      <w:r>
        <w:rPr>
          <w:kern w:val="0"/>
          <w:sz w:val="28"/>
          <w:szCs w:val="28"/>
        </w:rPr>
        <w:t xml:space="preserve">Обращаясь к доводам </w:t>
      </w:r>
      <w:r>
        <w:rPr>
          <w:sz w:val="28"/>
          <w:szCs w:val="28"/>
        </w:rPr>
        <w:t xml:space="preserve">АО «Татэнерго» </w:t>
      </w:r>
      <w:r>
        <w:rPr>
          <w:kern w:val="0"/>
          <w:sz w:val="28"/>
          <w:szCs w:val="28"/>
        </w:rPr>
        <w:t>об экономической необоснованности установленных тарифов</w:t>
      </w:r>
      <w:r>
        <w:rPr>
          <w:sz w:val="28"/>
          <w:szCs w:val="28"/>
        </w:rPr>
        <w:t xml:space="preserve"> в связи с неверным определением Госкомитетом размера НВВ, который не возмещает расходы и не обеспечивает надлежащее содержание и эксплуатацию объектов теплоснабжения, суд приходит к следующему. </w:t>
      </w:r>
    </w:p>
    <w:p w:rsidR="005A5AE3" w:rsidRDefault="005A5AE3" w:rsidP="005A5AE3">
      <w:pPr>
        <w:pStyle w:val="11"/>
        <w:shd w:val="clear" w:color="auto" w:fill="auto"/>
        <w:ind w:firstLine="709"/>
        <w:jc w:val="both"/>
        <w:rPr>
          <w:rFonts w:ascii="Times New Roman" w:hAnsi="Times New Roman"/>
          <w:sz w:val="28"/>
          <w:szCs w:val="28"/>
        </w:rPr>
      </w:pPr>
      <w:r>
        <w:rPr>
          <w:rFonts w:ascii="Times New Roman" w:hAnsi="Times New Roman"/>
          <w:color w:val="000000"/>
          <w:sz w:val="28"/>
          <w:szCs w:val="28"/>
          <w:lang w:bidi="ru-RU"/>
        </w:rPr>
        <w:t>В соответствии с пунктом 22 Основ ценообразования тарифы в сфере теплоснабжения рассчитываются на основании НВВ регулируемой организации, определенной для соответствующего регулируемого вида деятельности, и расчетного объема полезного отпуска. НВВ признается экономически обоснованный объем финансовых средств, необходимый регулируемой организации для осуществления</w:t>
      </w:r>
      <w:r>
        <w:rPr>
          <w:rFonts w:ascii="Times New Roman" w:hAnsi="Times New Roman"/>
        </w:rPr>
        <w:t xml:space="preserve"> </w:t>
      </w:r>
      <w:r>
        <w:rPr>
          <w:rFonts w:ascii="Times New Roman" w:hAnsi="Times New Roman"/>
          <w:color w:val="000000"/>
          <w:sz w:val="28"/>
          <w:szCs w:val="28"/>
          <w:lang w:bidi="ru-RU"/>
        </w:rPr>
        <w:t xml:space="preserve">регулируемого вида деятельности в течение расчетного периода регулирования (пункт 2 Основ </w:t>
      </w:r>
      <w:r>
        <w:rPr>
          <w:rFonts w:ascii="Times New Roman" w:hAnsi="Times New Roman"/>
          <w:sz w:val="28"/>
          <w:szCs w:val="28"/>
          <w:lang w:bidi="ru-RU"/>
        </w:rPr>
        <w:t>ценообразования).</w:t>
      </w:r>
    </w:p>
    <w:p w:rsidR="005A5AE3" w:rsidRDefault="005A5AE3" w:rsidP="005A5AE3">
      <w:pPr>
        <w:adjustRightInd w:val="0"/>
        <w:ind w:firstLine="709"/>
        <w:jc w:val="both"/>
        <w:rPr>
          <w:rFonts w:eastAsia="Calibri"/>
          <w:kern w:val="0"/>
          <w:sz w:val="28"/>
          <w:szCs w:val="28"/>
        </w:rPr>
      </w:pPr>
      <w:r>
        <w:rPr>
          <w:rFonts w:eastAsia="Calibri"/>
          <w:kern w:val="0"/>
          <w:sz w:val="28"/>
          <w:szCs w:val="28"/>
        </w:rPr>
        <w:t>В силу пункта 71</w:t>
      </w:r>
      <w:r>
        <w:rPr>
          <w:kern w:val="0"/>
          <w:sz w:val="28"/>
          <w:szCs w:val="28"/>
        </w:rPr>
        <w:t xml:space="preserve"> Основ ценообразования</w:t>
      </w:r>
      <w:r>
        <w:rPr>
          <w:rFonts w:eastAsia="Calibri"/>
          <w:kern w:val="0"/>
          <w:sz w:val="28"/>
          <w:szCs w:val="28"/>
        </w:rPr>
        <w:t xml:space="preserve"> 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с учетом особенностей, предусмотренных </w:t>
      </w:r>
      <w:hyperlink r:id="rId18" w:history="1">
        <w:r>
          <w:rPr>
            <w:rStyle w:val="a3"/>
            <w:rFonts w:eastAsia="Calibri"/>
            <w:kern w:val="0"/>
            <w:sz w:val="28"/>
            <w:szCs w:val="28"/>
          </w:rPr>
          <w:t>пунктом 43</w:t>
        </w:r>
      </w:hyperlink>
      <w:r>
        <w:rPr>
          <w:rFonts w:eastAsia="Calibri"/>
          <w:kern w:val="0"/>
          <w:sz w:val="28"/>
          <w:szCs w:val="28"/>
        </w:rPr>
        <w:t xml:space="preserve"> данного документа, и нормативную прибыль регулируемой организации, а также расчетную предпринимательскую прибыль регулируемой организации.</w:t>
      </w:r>
    </w:p>
    <w:p w:rsidR="005A5AE3" w:rsidRDefault="005A5AE3" w:rsidP="005A5AE3">
      <w:pPr>
        <w:adjustRightInd w:val="0"/>
        <w:ind w:firstLine="709"/>
        <w:jc w:val="both"/>
        <w:rPr>
          <w:rFonts w:eastAsia="Calibri"/>
          <w:kern w:val="0"/>
          <w:sz w:val="28"/>
          <w:szCs w:val="28"/>
        </w:rPr>
      </w:pPr>
      <w:r>
        <w:rPr>
          <w:kern w:val="0"/>
          <w:sz w:val="28"/>
          <w:szCs w:val="28"/>
        </w:rPr>
        <w:t>В соответствии с пунктами 73, 57, подпунктом «в» пункта 58 Основ ценообразования в</w:t>
      </w:r>
      <w:r>
        <w:rPr>
          <w:rFonts w:eastAsia="Calibri"/>
          <w:kern w:val="0"/>
          <w:sz w:val="28"/>
          <w:szCs w:val="28"/>
        </w:rPr>
        <w:t>еличина текущих расходов регулируемой организации включает в себя операционные расходы, состоящие, помимо прочих, из расходов на оплату труда.</w:t>
      </w:r>
    </w:p>
    <w:p w:rsidR="005A5AE3" w:rsidRDefault="005A5AE3" w:rsidP="005A5AE3">
      <w:pPr>
        <w:adjustRightInd w:val="0"/>
        <w:ind w:firstLine="709"/>
        <w:jc w:val="both"/>
        <w:rPr>
          <w:rFonts w:eastAsia="Calibri"/>
          <w:kern w:val="0"/>
          <w:sz w:val="28"/>
          <w:szCs w:val="28"/>
        </w:rPr>
      </w:pPr>
      <w:r>
        <w:rPr>
          <w:rFonts w:eastAsia="Calibri"/>
          <w:kern w:val="0"/>
          <w:sz w:val="28"/>
          <w:szCs w:val="28"/>
        </w:rPr>
        <w:t>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 (пункт 42 Основ ценообразования).</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Орган регулирования при определении расходов на оплату труда исходил из разъяснений Федеральной антимонопольной службы, изложенных в письме от 11 декабря 2023 года № ВК/104304/23 о том, что при оценке экономической обоснованности соответствующих расходов необходимо исходить из конкретных обстоятельств финансово-экономического положения организации, ранее принятых тарифных </w:t>
      </w:r>
      <w:r>
        <w:rPr>
          <w:rFonts w:eastAsia="Calibri"/>
          <w:kern w:val="0"/>
          <w:sz w:val="28"/>
          <w:szCs w:val="28"/>
        </w:rPr>
        <w:lastRenderedPageBreak/>
        <w:t>решений, а также уровня средней заработной платы в регулируемой сфере (уровня средней заработной платы в регионе по соответствующему виду экономической деятельности по данным Федеральной службы государственной статистики).</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Тарифный орган проанализировал затраты регулируемой организации на оплату труда в предыдущий долгосрочный период регулирования, произвел сравнение с уровнем среднемесячной заработной платы в организациях, осуществляющих аналогичную регулируемую деятельность в сфере теплоснабжения, принял решение произвести расчет размера расходов на оплату труда АО «Татэнерго» исходя из фактических показателей за 2022 год Федеральной службы государственной статистики, полагая при этом, что размер средней заработной платы в регионе (Республике Татарстан) по соответствующему виду экономической деятельности составляет 57 591,17 рубля. </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Вместе с тем, не оспаривая численность основного производственного персонала и административно-управленческого персонала, занятых в регулируемой деятельности, исходя из которых произведен расчет расходов на оплату труда, административный истец справедливо приводит доводы о неверном определении размера данных расходов, поскольку согласно справке Территориального органа Федеральной службы государственной статистики по Республике Татарстан от 28 июля 2023 года № 24-18/336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60 845,2 рубля. </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Вместе с тем при обращении в Единую межведомственную информационно – статистическую систему (ЕМИСС, </w:t>
      </w:r>
      <w:r>
        <w:rPr>
          <w:rFonts w:eastAsia="Calibri"/>
          <w:kern w:val="0"/>
          <w:sz w:val="28"/>
          <w:szCs w:val="28"/>
          <w:lang w:val="en-US"/>
        </w:rPr>
        <w:t>http</w:t>
      </w:r>
      <w:r>
        <w:rPr>
          <w:rFonts w:eastAsia="Calibri"/>
          <w:kern w:val="0"/>
          <w:sz w:val="28"/>
          <w:szCs w:val="28"/>
        </w:rPr>
        <w:t>:</w:t>
      </w:r>
      <w:r>
        <w:rPr>
          <w:rFonts w:eastAsia="Calibri"/>
          <w:kern w:val="0"/>
          <w:sz w:val="28"/>
          <w:szCs w:val="28"/>
          <w:lang w:val="en-US"/>
        </w:rPr>
        <w:t>fedstat</w:t>
      </w:r>
      <w:r>
        <w:rPr>
          <w:rFonts w:eastAsia="Calibri"/>
          <w:kern w:val="0"/>
          <w:sz w:val="28"/>
          <w:szCs w:val="28"/>
        </w:rPr>
        <w:t>.</w:t>
      </w:r>
      <w:r>
        <w:rPr>
          <w:rFonts w:eastAsia="Calibri"/>
          <w:kern w:val="0"/>
          <w:sz w:val="28"/>
          <w:szCs w:val="28"/>
          <w:lang w:val="en-US"/>
        </w:rPr>
        <w:t>ru</w:t>
      </w:r>
      <w:r>
        <w:rPr>
          <w:rFonts w:eastAsia="Calibri"/>
          <w:kern w:val="0"/>
          <w:sz w:val="28"/>
          <w:szCs w:val="28"/>
        </w:rPr>
        <w:t xml:space="preserve"> / Ведомства / Федеральная служба государственной статистики / 1.30 Рынок труда / 1.30.1 Численность и начисленная заработная плата работников организаций / Средняя номинальная начисленная заработная плата работников организаций (без субъектов малого предпринимательства) с 2017 года) установлено, что размер среднемесячной заработной платы работников организаций по виду экономической деятельности «Производство, передача и распределение пара и горячей воды; кондиционирование воздуха» в муниципальных образованиях Республики Татарстан за январь - декабрь 2022 года составляет 54 582,9 рубля.</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Таким образом, органом регулирования, вопреки положениям статьи 62 Кодекса административного судопроизводства Российской Федерации, не представлено доказательств о принятых им фактических показателях за 2022 год о размере среднемесячной заработной платы в размере 57 591,17 рубля. При этом суд отмечает, что Федеральная служба государственной статистики не подтверждает указанные показатели.   </w:t>
      </w:r>
    </w:p>
    <w:p w:rsidR="005A5AE3" w:rsidRDefault="005A5AE3" w:rsidP="005A5AE3">
      <w:pPr>
        <w:adjustRightInd w:val="0"/>
        <w:ind w:firstLine="709"/>
        <w:jc w:val="both"/>
        <w:rPr>
          <w:rFonts w:eastAsia="Calibri"/>
          <w:kern w:val="0"/>
          <w:sz w:val="28"/>
          <w:szCs w:val="28"/>
        </w:rPr>
      </w:pPr>
      <w:r>
        <w:rPr>
          <w:rFonts w:eastAsia="Calibri"/>
          <w:kern w:val="0"/>
          <w:sz w:val="28"/>
          <w:szCs w:val="28"/>
        </w:rPr>
        <w:lastRenderedPageBreak/>
        <w:t>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(пункт 59</w:t>
      </w:r>
      <w:r>
        <w:rPr>
          <w:kern w:val="0"/>
          <w:sz w:val="28"/>
          <w:szCs w:val="28"/>
        </w:rPr>
        <w:t xml:space="preserve"> Основ ценообразования)</w:t>
      </w:r>
      <w:r>
        <w:rPr>
          <w:rFonts w:eastAsia="Calibri"/>
          <w:kern w:val="0"/>
          <w:sz w:val="28"/>
          <w:szCs w:val="28"/>
        </w:rPr>
        <w:t>.</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При установлении (корректировке) тарифов на 2025 год для регулируемых организаций, за исключением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года дополнительно к предложению об установлении цен (тарифов) на 2025 год, представленному в соответствии с </w:t>
      </w:r>
      <w:hyperlink r:id="rId19" w:history="1">
        <w:r>
          <w:rPr>
            <w:rStyle w:val="a3"/>
            <w:rFonts w:eastAsia="Calibri"/>
            <w:kern w:val="0"/>
            <w:sz w:val="28"/>
            <w:szCs w:val="28"/>
          </w:rPr>
          <w:t>Правилами</w:t>
        </w:r>
      </w:hyperlink>
      <w:r>
        <w:rPr>
          <w:rFonts w:eastAsia="Calibri"/>
          <w:kern w:val="0"/>
          <w:sz w:val="28"/>
          <w:szCs w:val="28"/>
        </w:rPr>
        <w:t xml:space="preserve"> регулирования цен (тарифов), орган регулирования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(пункт 59 (1) Основ ценообразования).</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Такое заявление было дополнительно направлено АО «Татэнерго» в адрес Госкомитета 19 декабря 2024 года, то есть своевременно. </w:t>
      </w:r>
    </w:p>
    <w:p w:rsidR="005A5AE3" w:rsidRDefault="005A5AE3" w:rsidP="005A5AE3">
      <w:pPr>
        <w:adjustRightInd w:val="0"/>
        <w:ind w:firstLine="709"/>
        <w:jc w:val="both"/>
        <w:rPr>
          <w:kern w:val="0"/>
          <w:sz w:val="28"/>
          <w:szCs w:val="28"/>
        </w:rPr>
      </w:pPr>
      <w:r>
        <w:rPr>
          <w:kern w:val="0"/>
          <w:sz w:val="28"/>
          <w:szCs w:val="28"/>
        </w:rPr>
        <w:t>Таким образом, в связи с неверным расчетом размера расходов на оплату труда</w:t>
      </w:r>
      <w:r>
        <w:rPr>
          <w:rFonts w:eastAsia="Calibri"/>
          <w:kern w:val="0"/>
          <w:sz w:val="28"/>
          <w:szCs w:val="28"/>
        </w:rPr>
        <w:t xml:space="preserve"> при </w:t>
      </w:r>
      <w:r>
        <w:rPr>
          <w:kern w:val="0"/>
          <w:sz w:val="28"/>
          <w:szCs w:val="28"/>
        </w:rPr>
        <w:t>определении</w:t>
      </w:r>
      <w:r>
        <w:rPr>
          <w:rFonts w:eastAsia="Calibri"/>
          <w:kern w:val="0"/>
          <w:sz w:val="28"/>
          <w:szCs w:val="28"/>
        </w:rPr>
        <w:t xml:space="preserve"> базового уровня операционных расходов</w:t>
      </w:r>
      <w:r>
        <w:rPr>
          <w:kern w:val="0"/>
          <w:sz w:val="28"/>
          <w:szCs w:val="28"/>
        </w:rPr>
        <w:t xml:space="preserve"> на долгосрочный период регулирования, неправильным является размер таких расходов, принятый органом регулирования при корректировке оспариваемых тарифов на 2025 год. </w:t>
      </w:r>
    </w:p>
    <w:p w:rsidR="005A5AE3" w:rsidRDefault="005A5AE3" w:rsidP="005A5AE3">
      <w:pPr>
        <w:adjustRightInd w:val="0"/>
        <w:ind w:firstLine="709"/>
        <w:jc w:val="both"/>
        <w:rPr>
          <w:rFonts w:eastAsia="Calibri"/>
          <w:kern w:val="0"/>
          <w:sz w:val="28"/>
          <w:szCs w:val="28"/>
        </w:rPr>
      </w:pPr>
      <w:r>
        <w:rPr>
          <w:rFonts w:eastAsia="Calibri"/>
          <w:kern w:val="0"/>
          <w:sz w:val="28"/>
          <w:szCs w:val="28"/>
        </w:rPr>
        <w:t>Согласно пункту 45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w:t>
      </w:r>
    </w:p>
    <w:p w:rsidR="005A5AE3" w:rsidRDefault="005A5AE3" w:rsidP="005A5AE3">
      <w:pPr>
        <w:adjustRightInd w:val="0"/>
        <w:ind w:firstLine="709"/>
        <w:jc w:val="both"/>
        <w:rPr>
          <w:kern w:val="0"/>
          <w:sz w:val="28"/>
          <w:szCs w:val="28"/>
        </w:rPr>
      </w:pPr>
      <w:r>
        <w:rPr>
          <w:kern w:val="0"/>
          <w:sz w:val="28"/>
          <w:szCs w:val="28"/>
        </w:rPr>
        <w:t xml:space="preserve">Определяя размер экономически обоснованного уровня арендной платы </w:t>
      </w:r>
      <w:r>
        <w:rPr>
          <w:sz w:val="28"/>
          <w:szCs w:val="28"/>
        </w:rPr>
        <w:t xml:space="preserve">на 2025 году по договорам аренды тепловых сетей, </w:t>
      </w:r>
      <w:r>
        <w:rPr>
          <w:kern w:val="0"/>
          <w:sz w:val="28"/>
          <w:szCs w:val="28"/>
        </w:rPr>
        <w:t>регулятором правомерно в соответствии с пунктом 45 Основ ценообразования исключены расходы по арендной плате по договорам с АО «Таттеплосбыт» в размере 6 987,04 тысячи рублей в связи с повторным учетом данной суммы в расчетах общества, данное обстоятельство административным истцом не оспаривается. Заявленные расходы по данной статье по другим договорам аренды на общую сумму 24 220,24 тысячи рублей были рассчитаны обществом правильно, поэтому включены тарифным органом в НВВ.</w:t>
      </w:r>
    </w:p>
    <w:p w:rsidR="005A5AE3" w:rsidRDefault="005A5AE3" w:rsidP="005A5AE3">
      <w:pPr>
        <w:adjustRightInd w:val="0"/>
        <w:ind w:firstLine="709"/>
        <w:jc w:val="both"/>
        <w:rPr>
          <w:kern w:val="0"/>
          <w:sz w:val="28"/>
          <w:szCs w:val="28"/>
        </w:rPr>
      </w:pPr>
      <w:r>
        <w:rPr>
          <w:kern w:val="0"/>
          <w:sz w:val="28"/>
          <w:szCs w:val="28"/>
        </w:rPr>
        <w:t xml:space="preserve">Спорными по данной статье расходов являются затраты на оплату по договорам аренды земли с Исполкомом города Набережные Челны в сумме 272,8 тысячи рублей, с ООО «ПЖДТ» - в сумме 1,17 тысячи рублей, с предпринимателями Николаевым О.Н., Кропотовой Н.И. – в сумме 5 489 тысячи рублей. Причинами отказа в учете аренды по данным объектам </w:t>
      </w:r>
      <w:r>
        <w:rPr>
          <w:kern w:val="0"/>
          <w:sz w:val="28"/>
          <w:szCs w:val="28"/>
        </w:rPr>
        <w:lastRenderedPageBreak/>
        <w:t xml:space="preserve">Госкомитетом указаны: отсутствие объектов, неотнесение объектов к сфере теплоснабжения, отсутствие расчета арендной платы.          </w:t>
      </w:r>
    </w:p>
    <w:p w:rsidR="005A5AE3" w:rsidRDefault="005A5AE3" w:rsidP="005A5AE3">
      <w:pPr>
        <w:adjustRightInd w:val="0"/>
        <w:ind w:firstLine="709"/>
        <w:jc w:val="both"/>
        <w:rPr>
          <w:rFonts w:eastAsia="Calibri"/>
          <w:kern w:val="0"/>
          <w:sz w:val="28"/>
          <w:szCs w:val="28"/>
        </w:rPr>
      </w:pPr>
      <w:r>
        <w:rPr>
          <w:kern w:val="0"/>
          <w:sz w:val="28"/>
          <w:szCs w:val="28"/>
        </w:rPr>
        <w:t>Согласно пункту 73 Основ ценообразования в</w:t>
      </w:r>
      <w:r>
        <w:rPr>
          <w:rFonts w:eastAsia="Calibri"/>
          <w:kern w:val="0"/>
          <w:sz w:val="28"/>
          <w:szCs w:val="28"/>
        </w:rPr>
        <w:t xml:space="preserve">еличина неподконтрольных расходов определяется в соответствии с </w:t>
      </w:r>
      <w:hyperlink r:id="rId20" w:history="1">
        <w:r>
          <w:rPr>
            <w:rStyle w:val="a3"/>
            <w:rFonts w:eastAsia="Calibri"/>
            <w:kern w:val="0"/>
            <w:sz w:val="28"/>
            <w:szCs w:val="28"/>
          </w:rPr>
          <w:t>пунктом 62</w:t>
        </w:r>
      </w:hyperlink>
      <w:r>
        <w:rPr>
          <w:rFonts w:eastAsia="Calibri"/>
          <w:kern w:val="0"/>
          <w:sz w:val="28"/>
          <w:szCs w:val="28"/>
        </w:rPr>
        <w:t xml:space="preserve"> настоящего документа и включает, помимо прочих, величину амортизации основных средств.</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w:t>
      </w:r>
      <w:hyperlink r:id="rId21" w:history="1">
        <w:r>
          <w:rPr>
            <w:rStyle w:val="a3"/>
            <w:rFonts w:eastAsia="Calibri"/>
            <w:kern w:val="0"/>
            <w:sz w:val="28"/>
            <w:szCs w:val="28"/>
          </w:rPr>
          <w:t>методическими указаниями</w:t>
        </w:r>
      </w:hyperlink>
      <w:r>
        <w:rPr>
          <w:rFonts w:eastAsia="Calibri"/>
          <w:kern w:val="0"/>
          <w:sz w:val="28"/>
          <w:szCs w:val="28"/>
        </w:rPr>
        <w:t xml:space="preserve"> с учетом особенностей, предусмотренных </w:t>
      </w:r>
      <w:hyperlink r:id="rId22" w:history="1">
        <w:r>
          <w:rPr>
            <w:rStyle w:val="a3"/>
            <w:rFonts w:eastAsia="Calibri"/>
            <w:kern w:val="0"/>
            <w:sz w:val="28"/>
            <w:szCs w:val="28"/>
          </w:rPr>
          <w:t>пунктом 43</w:t>
        </w:r>
      </w:hyperlink>
      <w:r>
        <w:rPr>
          <w:rFonts w:eastAsia="Calibri"/>
          <w:kern w:val="0"/>
          <w:sz w:val="28"/>
          <w:szCs w:val="28"/>
        </w:rPr>
        <w:t xml:space="preserve"> данного документа.</w:t>
      </w:r>
    </w:p>
    <w:p w:rsidR="005A5AE3" w:rsidRDefault="005A5AE3" w:rsidP="005A5AE3">
      <w:pPr>
        <w:adjustRightInd w:val="0"/>
        <w:ind w:firstLine="709"/>
        <w:jc w:val="both"/>
        <w:rPr>
          <w:rFonts w:eastAsia="Calibri"/>
          <w:kern w:val="0"/>
          <w:sz w:val="28"/>
          <w:szCs w:val="28"/>
        </w:rPr>
      </w:pPr>
      <w:r>
        <w:rPr>
          <w:rFonts w:eastAsia="Calibri"/>
          <w:kern w:val="0"/>
          <w:sz w:val="28"/>
          <w:szCs w:val="28"/>
        </w:rPr>
        <w:t>В соответствии с пунктом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rsidR="005A5AE3" w:rsidRDefault="005A5AE3" w:rsidP="005A5AE3">
      <w:pPr>
        <w:adjustRightInd w:val="0"/>
        <w:ind w:firstLine="709"/>
        <w:jc w:val="both"/>
        <w:rPr>
          <w:rFonts w:eastAsia="Calibri"/>
          <w:kern w:val="0"/>
          <w:sz w:val="28"/>
          <w:szCs w:val="28"/>
        </w:rPr>
      </w:pPr>
      <w:r>
        <w:rPr>
          <w:rFonts w:eastAsia="Calibri"/>
          <w:kern w:val="0"/>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3" w:history="1">
        <w:r>
          <w:rPr>
            <w:rStyle w:val="a3"/>
            <w:rFonts w:eastAsia="Calibri"/>
            <w:kern w:val="0"/>
            <w:sz w:val="28"/>
            <w:szCs w:val="28"/>
          </w:rPr>
          <w:t>Классификацией</w:t>
        </w:r>
      </w:hyperlink>
      <w:r>
        <w:rPr>
          <w:rFonts w:eastAsia="Calibri"/>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w:t>
      </w:r>
    </w:p>
    <w:p w:rsidR="005A5AE3" w:rsidRDefault="005A5AE3" w:rsidP="005A5AE3">
      <w:pPr>
        <w:adjustRightInd w:val="0"/>
        <w:ind w:firstLine="709"/>
        <w:jc w:val="both"/>
        <w:rPr>
          <w:kern w:val="0"/>
          <w:sz w:val="28"/>
          <w:szCs w:val="28"/>
        </w:rPr>
      </w:pPr>
      <w:r>
        <w:rPr>
          <w:kern w:val="0"/>
          <w:sz w:val="28"/>
          <w:szCs w:val="28"/>
        </w:rPr>
        <w:t xml:space="preserve">При утверждении НВВ на 2025 год по статье </w:t>
      </w:r>
      <w:r>
        <w:rPr>
          <w:sz w:val="28"/>
          <w:szCs w:val="28"/>
        </w:rPr>
        <w:t xml:space="preserve">«расходы на амортизацию основных средств» </w:t>
      </w:r>
      <w:r>
        <w:rPr>
          <w:kern w:val="0"/>
          <w:sz w:val="28"/>
          <w:szCs w:val="28"/>
        </w:rPr>
        <w:t xml:space="preserve">Госкомитетом были учтены расходы на амортизационные отчисления в доле на тепловую энергию в размере 511 249,85 тысячи рублей из заявленных обществом 557 194,84 тысячи рублей. </w:t>
      </w:r>
    </w:p>
    <w:p w:rsidR="005A5AE3" w:rsidRDefault="005A5AE3" w:rsidP="005A5AE3">
      <w:pPr>
        <w:adjustRightInd w:val="0"/>
        <w:ind w:firstLine="709"/>
        <w:jc w:val="both"/>
        <w:rPr>
          <w:sz w:val="28"/>
          <w:szCs w:val="28"/>
        </w:rPr>
      </w:pPr>
      <w:r>
        <w:rPr>
          <w:kern w:val="0"/>
          <w:sz w:val="28"/>
          <w:szCs w:val="28"/>
        </w:rPr>
        <w:t xml:space="preserve">Основаниями для отказа в принятии в заявленном размере упомянутых расходов административным ответчиком указано </w:t>
      </w:r>
      <w:r>
        <w:rPr>
          <w:sz w:val="28"/>
          <w:szCs w:val="28"/>
        </w:rPr>
        <w:t xml:space="preserve">непредставление документов, подтверждающих стоимость имущества, ввод его в эксплуатацию, использование в регулируемой деятельности при производстве тепловой энергии. </w:t>
      </w:r>
    </w:p>
    <w:p w:rsidR="005A5AE3" w:rsidRDefault="005A5AE3" w:rsidP="005A5AE3">
      <w:pPr>
        <w:adjustRightInd w:val="0"/>
        <w:ind w:firstLine="709"/>
        <w:jc w:val="both"/>
        <w:rPr>
          <w:kern w:val="0"/>
          <w:sz w:val="28"/>
          <w:szCs w:val="28"/>
        </w:rPr>
      </w:pPr>
      <w:r>
        <w:rPr>
          <w:kern w:val="0"/>
          <w:sz w:val="28"/>
          <w:szCs w:val="28"/>
        </w:rPr>
        <w:t>Суд не может согласиться с правомерностью доводов административного ответчика о наличии безусловных оснований для отказа во включении спорных расходов (аренда, амортизация) в связи с непредставлением при подаче тарифной заявки на корректировку тарифов на 2025 год исчерпывающего состава документов для принятия оспариваемого нормативного правового акта.</w:t>
      </w:r>
    </w:p>
    <w:p w:rsidR="005A5AE3" w:rsidRDefault="005A5AE3" w:rsidP="005A5AE3">
      <w:pPr>
        <w:adjustRightInd w:val="0"/>
        <w:ind w:firstLine="709"/>
        <w:jc w:val="both"/>
        <w:rPr>
          <w:kern w:val="0"/>
          <w:sz w:val="28"/>
          <w:szCs w:val="28"/>
        </w:rPr>
      </w:pPr>
      <w:r>
        <w:rPr>
          <w:kern w:val="0"/>
          <w:sz w:val="28"/>
          <w:szCs w:val="28"/>
        </w:rPr>
        <w:lastRenderedPageBreak/>
        <w:t xml:space="preserve">Недочеты или противоречия в представленных административным истцом документах (инвентарных карточках, актах, расчетах арендной платы) могли быть устранены тарифным органом путем истребования дополнительных документов, на что судом неоднократно указывалось Госкомитету при рассмотрении аналогичных административных дел в сфере тарифного регулирования.               </w:t>
      </w:r>
    </w:p>
    <w:p w:rsidR="005A5AE3" w:rsidRDefault="005A5AE3" w:rsidP="005A5AE3">
      <w:pPr>
        <w:adjustRightInd w:val="0"/>
        <w:ind w:firstLine="709"/>
        <w:jc w:val="both"/>
        <w:rPr>
          <w:kern w:val="0"/>
          <w:sz w:val="28"/>
          <w:szCs w:val="28"/>
        </w:rPr>
      </w:pPr>
      <w:r>
        <w:rPr>
          <w:kern w:val="0"/>
          <w:sz w:val="28"/>
          <w:szCs w:val="28"/>
        </w:rPr>
        <w:t xml:space="preserve">Согласно </w:t>
      </w:r>
      <w:hyperlink r:id="rId24" w:history="1">
        <w:r>
          <w:rPr>
            <w:rStyle w:val="a3"/>
            <w:kern w:val="0"/>
            <w:sz w:val="28"/>
            <w:szCs w:val="28"/>
          </w:rPr>
          <w:t>пункту 20</w:t>
        </w:r>
      </w:hyperlink>
      <w:r>
        <w:rPr>
          <w:kern w:val="0"/>
          <w:sz w:val="28"/>
          <w:szCs w:val="28"/>
        </w:rPr>
        <w:t xml:space="preserve"> Правил регулирования в случае, если в ходе анализа представленных регулируемыми организациями предложений об установлении цен (тарифов) возникнет необходимость уточнения предложения об установлении цен (тарифов), орган регулирования запрашивает дополнительные сведения.</w:t>
      </w:r>
    </w:p>
    <w:p w:rsidR="005A5AE3" w:rsidRDefault="005A5AE3" w:rsidP="005A5AE3">
      <w:pPr>
        <w:adjustRightInd w:val="0"/>
        <w:ind w:firstLine="709"/>
        <w:jc w:val="both"/>
        <w:rPr>
          <w:kern w:val="0"/>
          <w:sz w:val="28"/>
          <w:szCs w:val="28"/>
        </w:rPr>
      </w:pPr>
      <w:r>
        <w:rPr>
          <w:kern w:val="0"/>
          <w:sz w:val="28"/>
          <w:szCs w:val="28"/>
        </w:rPr>
        <w:t xml:space="preserve">Представители тарифного органа в судебном заседании утверждали, что дополнительная информация по статье расходов </w:t>
      </w:r>
      <w:r>
        <w:rPr>
          <w:sz w:val="28"/>
          <w:szCs w:val="28"/>
        </w:rPr>
        <w:t>«расходы на амортизацию основных средств», «аренда»</w:t>
      </w:r>
      <w:r>
        <w:rPr>
          <w:kern w:val="0"/>
          <w:sz w:val="28"/>
          <w:szCs w:val="28"/>
        </w:rPr>
        <w:t xml:space="preserve"> не запрашивалась</w:t>
      </w:r>
      <w:r>
        <w:rPr>
          <w:sz w:val="28"/>
          <w:szCs w:val="28"/>
        </w:rPr>
        <w:t>. Неполнота представленных документов, по мнению уполномоченного лица</w:t>
      </w:r>
      <w:r>
        <w:rPr>
          <w:kern w:val="0"/>
          <w:sz w:val="28"/>
          <w:szCs w:val="28"/>
        </w:rPr>
        <w:t xml:space="preserve"> по тарифному делу</w:t>
      </w:r>
      <w:r>
        <w:rPr>
          <w:sz w:val="28"/>
          <w:szCs w:val="28"/>
        </w:rPr>
        <w:t xml:space="preserve"> Госкомитета, была доведена до сведения работников общества неформально. </w:t>
      </w:r>
      <w:r>
        <w:rPr>
          <w:kern w:val="0"/>
          <w:sz w:val="28"/>
          <w:szCs w:val="28"/>
        </w:rPr>
        <w:t xml:space="preserve"> </w:t>
      </w:r>
    </w:p>
    <w:p w:rsidR="005A5AE3" w:rsidRDefault="005A5AE3" w:rsidP="005A5AE3">
      <w:pPr>
        <w:adjustRightInd w:val="0"/>
        <w:ind w:firstLine="709"/>
        <w:jc w:val="both"/>
        <w:rPr>
          <w:kern w:val="0"/>
          <w:sz w:val="28"/>
          <w:szCs w:val="28"/>
        </w:rPr>
      </w:pPr>
      <w:r>
        <w:rPr>
          <w:kern w:val="0"/>
          <w:sz w:val="28"/>
          <w:szCs w:val="28"/>
        </w:rPr>
        <w:t xml:space="preserve">По общему правилу на тарифном органе не лежит безусловная обязанность запрашивать по собственной инициативе дополнительные документы. Вместе с тем в контексте конкретных обстоятельств рассматриваемого дела, учитывая отсутствие в экспертном заключении обоснования недостатков документов, подтверждающих спорные расходы, Комитет должен был предложить регулируемой организации представить дополнительные материалы. </w:t>
      </w:r>
    </w:p>
    <w:p w:rsidR="005A5AE3" w:rsidRDefault="005A5AE3" w:rsidP="005A5AE3">
      <w:pPr>
        <w:adjustRightInd w:val="0"/>
        <w:ind w:firstLine="709"/>
        <w:jc w:val="both"/>
        <w:rPr>
          <w:kern w:val="0"/>
          <w:sz w:val="28"/>
          <w:szCs w:val="28"/>
        </w:rPr>
      </w:pPr>
      <w:r>
        <w:rPr>
          <w:kern w:val="0"/>
          <w:sz w:val="28"/>
          <w:szCs w:val="28"/>
        </w:rPr>
        <w:t xml:space="preserve">Общими принципами организации отношений в сфере теплоснабжения, помимо прочего, являются соблюдение баланса экономических интересов теплоснабжающих организаций и интересов потребителей; обеспечение недискриминационных и стабильных условий осуществления предпринимательской деятельности в сфере теплоснабжения (пункты 5, 7 части 1 </w:t>
      </w:r>
      <w:hyperlink r:id="rId25" w:history="1">
        <w:r>
          <w:rPr>
            <w:rStyle w:val="a3"/>
            <w:kern w:val="0"/>
            <w:sz w:val="28"/>
            <w:szCs w:val="28"/>
          </w:rPr>
          <w:t>статья 3</w:t>
        </w:r>
      </w:hyperlink>
      <w:r>
        <w:rPr>
          <w:kern w:val="0"/>
          <w:sz w:val="28"/>
          <w:szCs w:val="28"/>
        </w:rPr>
        <w:t xml:space="preserve"> Федерального </w:t>
      </w:r>
      <w:hyperlink r:id="rId26" w:history="1">
        <w:r>
          <w:rPr>
            <w:rStyle w:val="a3"/>
            <w:kern w:val="0"/>
            <w:sz w:val="28"/>
            <w:szCs w:val="28"/>
          </w:rPr>
          <w:t>закон</w:t>
        </w:r>
      </w:hyperlink>
      <w:r>
        <w:rPr>
          <w:kern w:val="0"/>
          <w:sz w:val="28"/>
          <w:szCs w:val="28"/>
        </w:rPr>
        <w:t>а от 27 июля 2010 года № 190-ФЗ).</w:t>
      </w:r>
    </w:p>
    <w:p w:rsidR="005A5AE3" w:rsidRDefault="005A5AE3" w:rsidP="005A5AE3">
      <w:pPr>
        <w:adjustRightInd w:val="0"/>
        <w:ind w:firstLine="709"/>
        <w:jc w:val="both"/>
        <w:rPr>
          <w:kern w:val="0"/>
          <w:sz w:val="28"/>
          <w:szCs w:val="28"/>
        </w:rPr>
      </w:pPr>
      <w:r>
        <w:rPr>
          <w:kern w:val="0"/>
          <w:sz w:val="28"/>
          <w:szCs w:val="28"/>
        </w:rPr>
        <w:t>Исходя из указанных принципов подход тарифного органа должен быть предсказуемым для регулируемой организации и не создавать непреодолимых препятствий для установления экономически обоснованного тарифа.</w:t>
      </w:r>
    </w:p>
    <w:p w:rsidR="005A5AE3" w:rsidRDefault="005A5AE3" w:rsidP="005A5AE3">
      <w:pPr>
        <w:adjustRightInd w:val="0"/>
        <w:ind w:firstLine="709"/>
        <w:jc w:val="both"/>
        <w:rPr>
          <w:kern w:val="0"/>
          <w:sz w:val="28"/>
          <w:szCs w:val="28"/>
        </w:rPr>
      </w:pPr>
      <w:r>
        <w:rPr>
          <w:kern w:val="0"/>
          <w:sz w:val="28"/>
          <w:szCs w:val="28"/>
        </w:rPr>
        <w:t xml:space="preserve">Осуществляя проверку по своему усмотрению и произвольно, без предварительного извещения об этом регулируемой организации, изменяя подход к оценке доказательств подтверждения расходов по статье </w:t>
      </w:r>
      <w:r>
        <w:rPr>
          <w:sz w:val="28"/>
          <w:szCs w:val="28"/>
        </w:rPr>
        <w:t>«расходы на амортизацию основных средств»</w:t>
      </w:r>
      <w:r>
        <w:rPr>
          <w:kern w:val="0"/>
          <w:sz w:val="28"/>
          <w:szCs w:val="28"/>
        </w:rPr>
        <w:t>, «аренда», тарифный орган существенно нарушил принципы тарифного регулирования в сфере теплоснабжения.</w:t>
      </w:r>
    </w:p>
    <w:p w:rsidR="005A5AE3" w:rsidRDefault="005A5AE3" w:rsidP="005A5AE3">
      <w:pPr>
        <w:adjustRightInd w:val="0"/>
        <w:ind w:firstLine="709"/>
        <w:jc w:val="both"/>
        <w:rPr>
          <w:kern w:val="0"/>
          <w:sz w:val="28"/>
          <w:szCs w:val="28"/>
        </w:rPr>
      </w:pPr>
      <w:r>
        <w:rPr>
          <w:kern w:val="0"/>
          <w:sz w:val="28"/>
          <w:szCs w:val="28"/>
        </w:rPr>
        <w:t xml:space="preserve">Вместе с тем, по мнению суда, при расчете экономически обоснованного размера амортизации на 2025 год регулирования срок полезного использования активов и отнесение этих активов к соответствующей амортизационной группе должен определяться органами регулирования в соответствии с максимальными сроками полезного </w:t>
      </w:r>
      <w:r>
        <w:rPr>
          <w:kern w:val="0"/>
          <w:sz w:val="28"/>
          <w:szCs w:val="28"/>
        </w:rPr>
        <w:lastRenderedPageBreak/>
        <w:t xml:space="preserve">использования, установленными </w:t>
      </w:r>
      <w:hyperlink r:id="rId27" w:history="1">
        <w:r>
          <w:rPr>
            <w:rStyle w:val="a3"/>
            <w:kern w:val="0"/>
            <w:sz w:val="28"/>
            <w:szCs w:val="28"/>
          </w:rPr>
          <w:t>Классификацией</w:t>
        </w:r>
      </w:hyperlink>
      <w:r>
        <w:rPr>
          <w:kern w:val="0"/>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года № 1 «О Классификации основных средств, включаемых в амортизационные группы». Такой подход призван обеспечить соблюдение баланса экономических интересов потребителей при расчете экономически обоснованного планового размера амортизационных отчислений объектов основных средств. Такой подход согласуется с положениями пункта 43 Основ ценообразования.</w:t>
      </w:r>
    </w:p>
    <w:p w:rsidR="005A5AE3" w:rsidRDefault="005A5AE3" w:rsidP="005A5AE3">
      <w:pPr>
        <w:adjustRightInd w:val="0"/>
        <w:ind w:firstLine="709"/>
        <w:jc w:val="both"/>
        <w:rPr>
          <w:rFonts w:eastAsia="Calibri"/>
          <w:kern w:val="0"/>
          <w:sz w:val="28"/>
          <w:szCs w:val="28"/>
        </w:rPr>
      </w:pPr>
      <w:r>
        <w:rPr>
          <w:rFonts w:eastAsia="Calibri"/>
          <w:kern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w:t>
      </w:r>
      <w:hyperlink r:id="rId28" w:history="1">
        <w:r>
          <w:rPr>
            <w:rStyle w:val="a3"/>
            <w:rFonts w:eastAsia="Calibri"/>
            <w:kern w:val="0"/>
            <w:sz w:val="28"/>
            <w:szCs w:val="28"/>
          </w:rPr>
          <w:t>пункт 71</w:t>
        </w:r>
      </w:hyperlink>
      <w:r>
        <w:rPr>
          <w:rFonts w:eastAsia="Calibri"/>
          <w:kern w:val="0"/>
          <w:sz w:val="28"/>
          <w:szCs w:val="28"/>
        </w:rPr>
        <w:t xml:space="preserve"> Основ ценообразования), которая включает в себя, помимо прочих,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экономии инвестиционных расходов,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9" w:history="1">
        <w:r>
          <w:rPr>
            <w:rStyle w:val="a3"/>
            <w:rFonts w:eastAsia="Calibri"/>
            <w:kern w:val="0"/>
            <w:sz w:val="28"/>
            <w:szCs w:val="28"/>
          </w:rPr>
          <w:t>кодексом</w:t>
        </w:r>
      </w:hyperlink>
      <w:r>
        <w:rPr>
          <w:rFonts w:eastAsia="Calibri"/>
          <w:kern w:val="0"/>
          <w:sz w:val="28"/>
          <w:szCs w:val="28"/>
        </w:rPr>
        <w:t xml:space="preserve"> Российской Федерации (</w:t>
      </w:r>
      <w:hyperlink r:id="rId30" w:history="1">
        <w:r>
          <w:rPr>
            <w:rStyle w:val="a3"/>
            <w:rFonts w:eastAsia="Calibri"/>
            <w:kern w:val="0"/>
            <w:sz w:val="28"/>
            <w:szCs w:val="28"/>
          </w:rPr>
          <w:t>пункт 74</w:t>
        </w:r>
      </w:hyperlink>
      <w:r>
        <w:rPr>
          <w:rFonts w:eastAsia="Calibri"/>
          <w:kern w:val="0"/>
          <w:sz w:val="28"/>
          <w:szCs w:val="28"/>
        </w:rPr>
        <w:t xml:space="preserve"> Основ ценообразования). </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Согласно пункту 41 Методических указаний нормативная прибыль определяется в соответствии с </w:t>
      </w:r>
      <w:hyperlink r:id="rId31" w:anchor="Par1" w:history="1">
        <w:r>
          <w:rPr>
            <w:rStyle w:val="a3"/>
            <w:rFonts w:eastAsia="Calibri"/>
            <w:kern w:val="0"/>
            <w:sz w:val="28"/>
            <w:szCs w:val="28"/>
          </w:rPr>
          <w:t>формулой 12.1</w:t>
        </w:r>
      </w:hyperlink>
      <w:r>
        <w:rPr>
          <w:rFonts w:eastAsia="Calibri"/>
          <w:kern w:val="0"/>
          <w:sz w:val="28"/>
          <w:szCs w:val="28"/>
        </w:rPr>
        <w:t xml:space="preserve"> </w:t>
      </w:r>
    </w:p>
    <w:p w:rsidR="005A5AE3" w:rsidRDefault="005A5AE3" w:rsidP="005A5AE3">
      <w:pPr>
        <w:adjustRightInd w:val="0"/>
        <w:ind w:firstLine="709"/>
        <w:jc w:val="center"/>
        <w:rPr>
          <w:rFonts w:eastAsia="Calibri"/>
          <w:kern w:val="0"/>
          <w:sz w:val="28"/>
          <w:szCs w:val="28"/>
        </w:rPr>
      </w:pPr>
      <w:bookmarkStart w:id="1" w:name="Par1"/>
      <w:bookmarkEnd w:id="1"/>
      <w:r>
        <w:rPr>
          <w:rFonts w:eastAsia="Calibri"/>
          <w:noProof/>
          <w:kern w:val="0"/>
          <w:position w:val="-12"/>
          <w:sz w:val="28"/>
          <w:szCs w:val="28"/>
        </w:rPr>
        <w:drawing>
          <wp:inline distT="0" distB="0" distL="0" distR="0">
            <wp:extent cx="2044700"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44700" cy="331470"/>
                    </a:xfrm>
                    <a:prstGeom prst="rect">
                      <a:avLst/>
                    </a:prstGeom>
                    <a:noFill/>
                    <a:ln>
                      <a:noFill/>
                    </a:ln>
                  </pic:spPr>
                </pic:pic>
              </a:graphicData>
            </a:graphic>
          </wp:inline>
        </w:drawing>
      </w:r>
      <w:r>
        <w:rPr>
          <w:rFonts w:eastAsia="Calibri"/>
          <w:kern w:val="0"/>
          <w:sz w:val="28"/>
          <w:szCs w:val="28"/>
        </w:rPr>
        <w:t xml:space="preserve">, </w:t>
      </w:r>
    </w:p>
    <w:p w:rsidR="005A5AE3" w:rsidRDefault="005A5AE3" w:rsidP="005A5AE3">
      <w:pPr>
        <w:adjustRightInd w:val="0"/>
        <w:ind w:firstLine="709"/>
        <w:jc w:val="both"/>
        <w:rPr>
          <w:rFonts w:eastAsia="Calibri"/>
          <w:kern w:val="0"/>
          <w:sz w:val="28"/>
          <w:szCs w:val="28"/>
        </w:rPr>
      </w:pPr>
      <w:r>
        <w:rPr>
          <w:rFonts w:eastAsia="Calibri"/>
          <w:kern w:val="0"/>
          <w:sz w:val="28"/>
          <w:szCs w:val="28"/>
        </w:rPr>
        <w:t>где:</w:t>
      </w:r>
    </w:p>
    <w:p w:rsidR="005A5AE3" w:rsidRDefault="005A5AE3" w:rsidP="005A5AE3">
      <w:pPr>
        <w:adjustRightInd w:val="0"/>
        <w:ind w:firstLine="709"/>
        <w:jc w:val="both"/>
        <w:rPr>
          <w:rFonts w:eastAsia="Calibri"/>
          <w:kern w:val="0"/>
          <w:sz w:val="28"/>
          <w:szCs w:val="28"/>
        </w:rPr>
      </w:pPr>
      <w:r>
        <w:rPr>
          <w:rFonts w:eastAsia="Calibri"/>
          <w:kern w:val="0"/>
          <w:sz w:val="28"/>
          <w:szCs w:val="28"/>
        </w:rPr>
        <w:t>КВ</w:t>
      </w:r>
      <w:r>
        <w:rPr>
          <w:rFonts w:eastAsia="Calibri"/>
          <w:kern w:val="0"/>
          <w:sz w:val="28"/>
          <w:szCs w:val="28"/>
          <w:vertAlign w:val="subscript"/>
        </w:rPr>
        <w:t>i</w:t>
      </w:r>
      <w:r>
        <w:rPr>
          <w:rFonts w:eastAsia="Calibri"/>
          <w:kern w:val="0"/>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rsidR="005A5AE3" w:rsidRDefault="005A5AE3" w:rsidP="005A5AE3">
      <w:pPr>
        <w:adjustRightInd w:val="0"/>
        <w:ind w:firstLine="709"/>
        <w:jc w:val="both"/>
        <w:rPr>
          <w:rFonts w:eastAsia="Calibri"/>
          <w:kern w:val="0"/>
          <w:sz w:val="28"/>
          <w:szCs w:val="28"/>
        </w:rPr>
      </w:pPr>
      <w:r>
        <w:rPr>
          <w:rFonts w:eastAsia="Calibri"/>
          <w:noProof/>
          <w:kern w:val="0"/>
          <w:position w:val="-12"/>
          <w:sz w:val="28"/>
          <w:szCs w:val="28"/>
        </w:rPr>
        <w:drawing>
          <wp:inline distT="0" distB="0" distL="0" distR="0">
            <wp:extent cx="511175" cy="331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1175" cy="331470"/>
                    </a:xfrm>
                    <a:prstGeom prst="rect">
                      <a:avLst/>
                    </a:prstGeom>
                    <a:noFill/>
                    <a:ln>
                      <a:noFill/>
                    </a:ln>
                  </pic:spPr>
                </pic:pic>
              </a:graphicData>
            </a:graphic>
          </wp:inline>
        </w:drawing>
      </w:r>
      <w:r>
        <w:rPr>
          <w:rFonts w:eastAsia="Calibri"/>
          <w:kern w:val="0"/>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Pr>
          <w:rFonts w:eastAsia="Calibri"/>
          <w:kern w:val="0"/>
          <w:sz w:val="28"/>
          <w:szCs w:val="28"/>
        </w:rPr>
        <w:lastRenderedPageBreak/>
        <w:t xml:space="preserve">регулируемой организации, определяется с учетом положений </w:t>
      </w:r>
      <w:hyperlink r:id="rId34" w:history="1">
        <w:r>
          <w:rPr>
            <w:rStyle w:val="a3"/>
            <w:rFonts w:eastAsia="Calibri"/>
            <w:kern w:val="0"/>
            <w:sz w:val="28"/>
            <w:szCs w:val="28"/>
          </w:rPr>
          <w:t>пункта 13</w:t>
        </w:r>
      </w:hyperlink>
      <w:r>
        <w:rPr>
          <w:rFonts w:eastAsia="Calibri"/>
          <w:kern w:val="0"/>
          <w:sz w:val="28"/>
          <w:szCs w:val="28"/>
        </w:rPr>
        <w:t xml:space="preserve"> Основ ценообразования;</w:t>
      </w:r>
    </w:p>
    <w:p w:rsidR="005A5AE3" w:rsidRDefault="005A5AE3" w:rsidP="005A5AE3">
      <w:pPr>
        <w:adjustRightInd w:val="0"/>
        <w:ind w:firstLine="709"/>
        <w:jc w:val="both"/>
        <w:rPr>
          <w:rFonts w:eastAsia="Calibri"/>
          <w:kern w:val="0"/>
          <w:sz w:val="28"/>
          <w:szCs w:val="28"/>
        </w:rPr>
      </w:pPr>
      <w:r>
        <w:rPr>
          <w:rFonts w:eastAsia="Calibri"/>
          <w:kern w:val="0"/>
          <w:sz w:val="28"/>
          <w:szCs w:val="28"/>
        </w:rPr>
        <w:t>КД</w:t>
      </w:r>
      <w:r>
        <w:rPr>
          <w:rFonts w:eastAsia="Calibri"/>
          <w:kern w:val="0"/>
          <w:sz w:val="28"/>
          <w:szCs w:val="28"/>
          <w:vertAlign w:val="subscript"/>
        </w:rPr>
        <w:t>i</w:t>
      </w:r>
      <w:r>
        <w:rPr>
          <w:rFonts w:eastAsia="Calibri"/>
          <w:kern w:val="0"/>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5"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5A5AE3" w:rsidRDefault="005A5AE3" w:rsidP="005A5AE3">
      <w:pPr>
        <w:adjustRightInd w:val="0"/>
        <w:ind w:firstLine="709"/>
        <w:jc w:val="both"/>
        <w:rPr>
          <w:rFonts w:eastAsia="Calibri"/>
          <w:kern w:val="0"/>
          <w:sz w:val="28"/>
          <w:szCs w:val="28"/>
        </w:rPr>
      </w:pPr>
      <w:r>
        <w:rPr>
          <w:rFonts w:eastAsia="Calibri"/>
          <w:kern w:val="0"/>
          <w:sz w:val="28"/>
          <w:szCs w:val="28"/>
        </w:rP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rsidR="005A5AE3" w:rsidRDefault="005A5AE3" w:rsidP="005A5AE3">
      <w:pPr>
        <w:adjustRightInd w:val="0"/>
        <w:ind w:firstLine="709"/>
        <w:jc w:val="both"/>
        <w:outlineLvl w:val="0"/>
        <w:rPr>
          <w:rFonts w:eastAsia="Calibri"/>
          <w:kern w:val="0"/>
          <w:sz w:val="28"/>
          <w:szCs w:val="28"/>
        </w:rPr>
      </w:pPr>
      <w:r>
        <w:rPr>
          <w:rFonts w:eastAsia="Calibri"/>
          <w:kern w:val="0"/>
          <w:sz w:val="28"/>
          <w:szCs w:val="28"/>
        </w:rPr>
        <w:t>Расходы на уплату налогов включаются в НВВ регулируемой организации в составе неподконтрольных расходов (</w:t>
      </w:r>
      <w:hyperlink r:id="rId36" w:history="1">
        <w:r>
          <w:rPr>
            <w:rStyle w:val="a3"/>
            <w:rFonts w:eastAsia="Calibri"/>
            <w:kern w:val="0"/>
            <w:sz w:val="28"/>
            <w:szCs w:val="28"/>
          </w:rPr>
          <w:t>подпункт «б» пункта 62</w:t>
        </w:r>
      </w:hyperlink>
      <w:r>
        <w:rPr>
          <w:rFonts w:eastAsia="Calibri"/>
          <w:kern w:val="0"/>
          <w:sz w:val="28"/>
          <w:szCs w:val="28"/>
        </w:rPr>
        <w:t xml:space="preserve">, </w:t>
      </w:r>
      <w:hyperlink r:id="rId37" w:history="1">
        <w:r>
          <w:rPr>
            <w:rStyle w:val="a3"/>
            <w:rFonts w:eastAsia="Calibri"/>
            <w:kern w:val="0"/>
            <w:sz w:val="28"/>
            <w:szCs w:val="28"/>
          </w:rPr>
          <w:t>пункт 73</w:t>
        </w:r>
      </w:hyperlink>
      <w:r>
        <w:rPr>
          <w:rFonts w:eastAsia="Calibri"/>
          <w:kern w:val="0"/>
          <w:sz w:val="28"/>
          <w:szCs w:val="28"/>
        </w:rPr>
        <w:t xml:space="preserve"> Основ ценообразования). Как следует из </w:t>
      </w:r>
      <w:hyperlink r:id="rId38" w:history="1">
        <w:r>
          <w:rPr>
            <w:rStyle w:val="a3"/>
            <w:rFonts w:eastAsia="Calibri"/>
            <w:kern w:val="0"/>
            <w:sz w:val="28"/>
            <w:szCs w:val="28"/>
          </w:rPr>
          <w:t>пункта 23</w:t>
        </w:r>
      </w:hyperlink>
      <w:r>
        <w:rPr>
          <w:rFonts w:eastAsia="Calibri"/>
          <w:kern w:val="0"/>
          <w:sz w:val="28"/>
          <w:szCs w:val="28"/>
        </w:rPr>
        <w:t xml:space="preserve"> Методических указаний планируемая на соответствующий расчетный период регулирования величина налога на прибыль определяется в соответствии с Налоговым </w:t>
      </w:r>
      <w:hyperlink r:id="rId39" w:history="1">
        <w:r>
          <w:rPr>
            <w:rStyle w:val="a3"/>
            <w:rFonts w:eastAsia="Calibri"/>
            <w:kern w:val="0"/>
            <w:sz w:val="28"/>
            <w:szCs w:val="28"/>
          </w:rPr>
          <w:t>кодексом</w:t>
        </w:r>
      </w:hyperlink>
      <w:r>
        <w:rPr>
          <w:rFonts w:eastAsia="Calibri"/>
          <w:kern w:val="0"/>
          <w:sz w:val="28"/>
          <w:szCs w:val="28"/>
        </w:rPr>
        <w:t xml:space="preserve"> Российской Федерации.</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Из содержания экспертного заключения следует, что органом регулирования по статье расходов «налог на прибыль» принято 248 476,53 тысячи рублей, а обществом заявлено по данной статье расходов 125 556,49 тысячи рублей. При этом в нарушение </w:t>
      </w:r>
      <w:hyperlink r:id="rId40"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рассчитанной регулируемой организацией величины нормативной прибыли.</w:t>
      </w:r>
    </w:p>
    <w:p w:rsidR="005A5AE3" w:rsidRDefault="005A5AE3" w:rsidP="005A5AE3">
      <w:pPr>
        <w:adjustRightInd w:val="0"/>
        <w:ind w:firstLine="709"/>
        <w:jc w:val="both"/>
        <w:rPr>
          <w:sz w:val="28"/>
          <w:szCs w:val="28"/>
        </w:rPr>
      </w:pPr>
      <w:r>
        <w:rPr>
          <w:sz w:val="28"/>
          <w:szCs w:val="28"/>
        </w:rPr>
        <w:t xml:space="preserve">При этом суд отмечает, что тарифный орган фактические расходы АО «Татэнерго», относимые на прибыль после налогообложения, не оспаривает, отчет по исполнению инвестиционной программы за 2023 год принят административным ответчиком без возражений. </w:t>
      </w:r>
    </w:p>
    <w:p w:rsidR="005A5AE3" w:rsidRDefault="005A5AE3" w:rsidP="005A5AE3">
      <w:pPr>
        <w:adjustRightInd w:val="0"/>
        <w:ind w:firstLine="709"/>
        <w:jc w:val="both"/>
        <w:rPr>
          <w:rFonts w:eastAsia="Calibri"/>
          <w:kern w:val="0"/>
          <w:sz w:val="28"/>
          <w:szCs w:val="28"/>
        </w:rPr>
      </w:pPr>
      <w:r>
        <w:rPr>
          <w:rFonts w:eastAsia="Calibri"/>
          <w:kern w:val="0"/>
          <w:sz w:val="28"/>
          <w:szCs w:val="28"/>
        </w:rPr>
        <w:t>Согласно пункту 47 Основ ценообразования внереализационные расходы, включаемые в необходимую валовую выручку, содержат в том числе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(подпункт «а»).</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Экспертное заключение содержит сведения о том, что органом регулирования из заявленных обществом по статье «расходы по сомнительным долгам» принято 508,82 тысячи рублей. При этом в нарушение </w:t>
      </w:r>
      <w:hyperlink r:id="rId41" w:history="1">
        <w:r>
          <w:rPr>
            <w:rStyle w:val="a3"/>
            <w:rFonts w:eastAsia="Calibri"/>
            <w:kern w:val="0"/>
            <w:sz w:val="28"/>
            <w:szCs w:val="28"/>
          </w:rPr>
          <w:t>подпункта «л» пункта 32</w:t>
        </w:r>
      </w:hyperlink>
      <w:r>
        <w:rPr>
          <w:rFonts w:eastAsia="Calibri"/>
          <w:kern w:val="0"/>
          <w:sz w:val="28"/>
          <w:szCs w:val="28"/>
        </w:rPr>
        <w:t xml:space="preserve"> Правил регулирования цен Госкомитет не привел основания, по которым отказано во включении в цены (тарифы) </w:t>
      </w:r>
      <w:r>
        <w:rPr>
          <w:rFonts w:eastAsia="Calibri"/>
          <w:kern w:val="0"/>
          <w:sz w:val="28"/>
          <w:szCs w:val="28"/>
        </w:rPr>
        <w:lastRenderedPageBreak/>
        <w:t>рассчитанной регулируемой организацией всего размера данного вида расходов.</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Суд обращает внимание, что в нарушение статьи 62 Кодекса административного судопроизводства Российской Федерации тарифным органом не опровергнуто утверждение и доказательства общества о представлении документов, подтверждающих наличие дебиторской задолженности, истечение сроков давности по ней, а также документы о невозможности исполнения обязательств должниками.  </w:t>
      </w:r>
    </w:p>
    <w:p w:rsidR="005A5AE3" w:rsidRDefault="005A5AE3" w:rsidP="005A5AE3">
      <w:pPr>
        <w:adjustRightInd w:val="0"/>
        <w:ind w:firstLine="709"/>
        <w:jc w:val="both"/>
        <w:rPr>
          <w:rFonts w:eastAsia="Calibri"/>
          <w:kern w:val="0"/>
          <w:sz w:val="28"/>
          <w:szCs w:val="28"/>
        </w:rPr>
      </w:pPr>
      <w:r>
        <w:rPr>
          <w:rFonts w:eastAsia="Calibri"/>
          <w:kern w:val="0"/>
          <w:sz w:val="28"/>
          <w:szCs w:val="28"/>
        </w:rPr>
        <w:t>Суд соглашается с доводами административного истца о неправомерном учете регулирующим органом</w:t>
      </w:r>
      <w:r>
        <w:rPr>
          <w:sz w:val="28"/>
          <w:szCs w:val="28"/>
        </w:rPr>
        <w:t xml:space="preserve"> в НВВ величины расчетной предпринимательской прибыли (далее – РПП) в части источников по производству тепловой энергии в комбинированном режиме (Набережночелнинская ТЭЦ)</w:t>
      </w:r>
      <w:r>
        <w:rPr>
          <w:rFonts w:eastAsia="Calibri"/>
          <w:kern w:val="0"/>
          <w:sz w:val="28"/>
          <w:szCs w:val="28"/>
        </w:rPr>
        <w:t xml:space="preserve">. </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В ходе рассмотрения настоящего административного дела административный ответчик обосновал свою позицию учетом РПП при установлении тарифа для конечного потребителя, где включены все этапы деятельности общества в сфере теплоснабжения: производство, передача, сбыт, поставка потребителю.  </w:t>
      </w:r>
    </w:p>
    <w:p w:rsidR="005A5AE3" w:rsidRDefault="005A5AE3" w:rsidP="005A5AE3">
      <w:pPr>
        <w:adjustRightInd w:val="0"/>
        <w:ind w:firstLine="709"/>
        <w:jc w:val="both"/>
        <w:rPr>
          <w:rFonts w:eastAsia="Calibri"/>
          <w:kern w:val="0"/>
          <w:sz w:val="28"/>
          <w:szCs w:val="28"/>
        </w:rPr>
      </w:pPr>
      <w:r>
        <w:rPr>
          <w:rFonts w:eastAsia="Calibri"/>
          <w:kern w:val="0"/>
          <w:sz w:val="28"/>
          <w:szCs w:val="28"/>
        </w:rPr>
        <w:t>Между тем суд не может согласиться с обоснованностью данных доводов.</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Согласно </w:t>
      </w:r>
      <w:hyperlink r:id="rId42" w:history="1">
        <w:r>
          <w:rPr>
            <w:rStyle w:val="a3"/>
            <w:rFonts w:eastAsia="Calibri"/>
            <w:kern w:val="0"/>
            <w:sz w:val="28"/>
            <w:szCs w:val="28"/>
          </w:rPr>
          <w:t>пункту 2</w:t>
        </w:r>
      </w:hyperlink>
      <w:r>
        <w:rPr>
          <w:rFonts w:eastAsia="Calibri"/>
          <w:kern w:val="0"/>
          <w:sz w:val="28"/>
          <w:szCs w:val="28"/>
        </w:rPr>
        <w:t xml:space="preserve"> Основ ценообразования РПП регулируемой организации является величиной, учитываемой при определении НВВ регулируемой организации при расчете тарифов с применением в том числе метода индексации установленных тарифов на каждый год долгосрочного периода регулирования, остающейся в распоряжении регулируемой организации и расходуемой по ее усмотрению. </w:t>
      </w:r>
    </w:p>
    <w:p w:rsidR="005A5AE3" w:rsidRDefault="005A5AE3" w:rsidP="005A5AE3">
      <w:pPr>
        <w:adjustRightInd w:val="0"/>
        <w:ind w:firstLine="709"/>
        <w:jc w:val="both"/>
        <w:rPr>
          <w:kern w:val="0"/>
          <w:sz w:val="28"/>
          <w:szCs w:val="28"/>
        </w:rPr>
      </w:pPr>
      <w:r>
        <w:rPr>
          <w:kern w:val="0"/>
          <w:sz w:val="28"/>
          <w:szCs w:val="28"/>
        </w:rPr>
        <w:t xml:space="preserve">Согласно пунктам 71, 74 (1) Основ ценообразования при расчете тарифов с применением метода индексации установленных тарифов НВВ регулируемой организации включает в себя в том числе расчетную предпринимательскую прибыль регулируемой организации, которая определяется в размере 5 процентов текущих расходов на каждый год долгосрочного периода регулирования, определенных в соответствии с </w:t>
      </w:r>
      <w:hyperlink r:id="rId43" w:history="1">
        <w:r>
          <w:rPr>
            <w:rStyle w:val="a3"/>
            <w:kern w:val="0"/>
            <w:sz w:val="28"/>
            <w:szCs w:val="28"/>
          </w:rPr>
          <w:t>пунктом 73</w:t>
        </w:r>
      </w:hyperlink>
      <w:r>
        <w:rPr>
          <w:kern w:val="0"/>
          <w:sz w:val="28"/>
          <w:szCs w:val="28"/>
        </w:rPr>
        <w:t xml:space="preserve"> настоящего документа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Случаи, в которых расчетная предпринимательская прибыль не включается в НВВ регулируемой организации, перечислены в </w:t>
      </w:r>
      <w:hyperlink r:id="rId44" w:history="1">
        <w:r>
          <w:rPr>
            <w:rStyle w:val="a3"/>
            <w:rFonts w:eastAsia="Calibri"/>
            <w:kern w:val="0"/>
            <w:sz w:val="28"/>
            <w:szCs w:val="28"/>
          </w:rPr>
          <w:t>пункте 48 (2)</w:t>
        </w:r>
      </w:hyperlink>
      <w:r>
        <w:rPr>
          <w:rFonts w:eastAsia="Calibri"/>
          <w:kern w:val="0"/>
          <w:sz w:val="28"/>
          <w:szCs w:val="28"/>
        </w:rPr>
        <w:t xml:space="preserve"> Основ ценообразования, положения которого в данном случае не подлежат применению.</w:t>
      </w:r>
    </w:p>
    <w:p w:rsidR="005A5AE3" w:rsidRDefault="005A5AE3" w:rsidP="005A5AE3">
      <w:pPr>
        <w:adjustRightInd w:val="0"/>
        <w:ind w:firstLine="709"/>
        <w:jc w:val="both"/>
        <w:rPr>
          <w:sz w:val="28"/>
          <w:szCs w:val="28"/>
        </w:rPr>
      </w:pPr>
      <w:r>
        <w:rPr>
          <w:rFonts w:eastAsia="Calibri"/>
          <w:kern w:val="0"/>
          <w:sz w:val="28"/>
          <w:szCs w:val="28"/>
        </w:rPr>
        <w:t xml:space="preserve">Суд также отмечает, что вопреки доводам административного ответчика, производство </w:t>
      </w:r>
      <w:r>
        <w:rPr>
          <w:sz w:val="28"/>
          <w:szCs w:val="28"/>
        </w:rPr>
        <w:t xml:space="preserve">тепловой энергии в режиме комбинированной выработки электрической и тепловой энергии источником тепловой энергии с </w:t>
      </w:r>
      <w:r>
        <w:rPr>
          <w:sz w:val="28"/>
          <w:szCs w:val="28"/>
        </w:rPr>
        <w:lastRenderedPageBreak/>
        <w:t>установленной генерирующей мощностью производства электрической энергии 25 мегаватт и более на коллекторе источника тепловой энергии (Набережночелнинская ТЭЦ), является самостоятельным технологическим процессом.</w:t>
      </w:r>
    </w:p>
    <w:p w:rsidR="005A5AE3" w:rsidRDefault="005A5AE3" w:rsidP="005A5AE3">
      <w:pPr>
        <w:adjustRightInd w:val="0"/>
        <w:ind w:firstLine="709"/>
        <w:jc w:val="both"/>
        <w:rPr>
          <w:sz w:val="28"/>
          <w:szCs w:val="28"/>
        </w:rPr>
      </w:pPr>
      <w:r>
        <w:rPr>
          <w:sz w:val="28"/>
          <w:szCs w:val="28"/>
        </w:rPr>
        <w:t>При этом в соответствии с пунктом 10 Основ ценообразования регулируемые организации должны вести раздельный учет по производству, передаче и сбыту тепловой энергии.</w:t>
      </w:r>
    </w:p>
    <w:p w:rsidR="005A5AE3" w:rsidRDefault="005A5AE3" w:rsidP="005A5AE3">
      <w:pPr>
        <w:adjustRightInd w:val="0"/>
        <w:ind w:firstLine="709"/>
        <w:jc w:val="both"/>
        <w:rPr>
          <w:sz w:val="28"/>
          <w:szCs w:val="28"/>
        </w:rPr>
      </w:pPr>
      <w:r>
        <w:rPr>
          <w:sz w:val="28"/>
          <w:szCs w:val="28"/>
        </w:rPr>
        <w:t xml:space="preserve">Более того, к коллекторам источников тепловой энергии АО «Татэнерго» подключены прямые потребители, которым тепловая энергия поставляется по тарифу, установленному для станций, в том числе для Набережночелнинской ТЭЦ, который не включает передачу и сбыт тепловой энергии. Таким образом, бремя оплаты РПП относится на конечного потребителя, то есть главным образом на население.      </w:t>
      </w:r>
    </w:p>
    <w:p w:rsidR="005A5AE3" w:rsidRDefault="005A5AE3" w:rsidP="005A5AE3">
      <w:pPr>
        <w:adjustRightInd w:val="0"/>
        <w:ind w:firstLine="709"/>
        <w:jc w:val="both"/>
        <w:outlineLvl w:val="0"/>
        <w:rPr>
          <w:rFonts w:eastAsia="Calibri"/>
          <w:kern w:val="0"/>
          <w:sz w:val="28"/>
          <w:szCs w:val="28"/>
        </w:rPr>
      </w:pPr>
      <w:r>
        <w:rPr>
          <w:rFonts w:eastAsia="Calibri"/>
          <w:kern w:val="0"/>
          <w:sz w:val="28"/>
          <w:szCs w:val="28"/>
        </w:rPr>
        <w:t xml:space="preserve">Следовательно, оснований для включения регулирующим органом РПП в части деятельности АО «Татэнерго» по производству </w:t>
      </w:r>
      <w:r>
        <w:rPr>
          <w:sz w:val="28"/>
          <w:szCs w:val="28"/>
        </w:rPr>
        <w:t xml:space="preserve">тепловой энергии в режиме комбинированной выработки электрической и тепловой энергии источником тепловой энергии с установленной генерирующей мощностью производства электрической энергии 25 мегаватт и более на коллекторе источника тепловой энергии (Набережночелнинская ТЭЦ) </w:t>
      </w:r>
      <w:r>
        <w:rPr>
          <w:rFonts w:eastAsia="Calibri"/>
          <w:kern w:val="0"/>
          <w:sz w:val="28"/>
          <w:szCs w:val="28"/>
        </w:rPr>
        <w:t xml:space="preserve">в НВВ общества при установлении тарифа </w:t>
      </w:r>
      <w:r>
        <w:rPr>
          <w:sz w:val="28"/>
          <w:szCs w:val="28"/>
        </w:rPr>
        <w:t xml:space="preserve">на тепловую энергию, поставляемую АО «Татэнерго» потребителям, другим теплоснабжающим организациям города Набережные Челны, </w:t>
      </w:r>
      <w:r>
        <w:rPr>
          <w:rFonts w:eastAsia="Calibri"/>
          <w:kern w:val="0"/>
          <w:sz w:val="28"/>
          <w:szCs w:val="28"/>
        </w:rPr>
        <w:t>не имелось, поскольку это противоречит принципу тарифного регулирования по раздельному учету регулируемых видов деятельности.</w:t>
      </w:r>
    </w:p>
    <w:p w:rsidR="005A5AE3" w:rsidRDefault="005A5AE3" w:rsidP="005A5AE3">
      <w:pPr>
        <w:adjustRightInd w:val="0"/>
        <w:ind w:firstLine="709"/>
        <w:jc w:val="both"/>
        <w:rPr>
          <w:kern w:val="0"/>
          <w:sz w:val="28"/>
          <w:szCs w:val="28"/>
        </w:rPr>
      </w:pPr>
      <w:r>
        <w:rPr>
          <w:sz w:val="28"/>
          <w:szCs w:val="28"/>
        </w:rPr>
        <w:t>Суд соглашается с доводами административного истца о неправильном определении органом регулирования объема отпуска тепловой энергии от источников тепловой энергии общества, что повлекло, помимо прочего, завышение его расходов на топливо на технологические цели.</w:t>
      </w:r>
    </w:p>
    <w:p w:rsidR="005A5AE3" w:rsidRDefault="005A5AE3" w:rsidP="005A5AE3">
      <w:pPr>
        <w:ind w:firstLine="709"/>
        <w:jc w:val="both"/>
        <w:rPr>
          <w:rFonts w:eastAsia="Calibri"/>
          <w:kern w:val="0"/>
          <w:sz w:val="28"/>
          <w:szCs w:val="28"/>
        </w:rPr>
      </w:pPr>
      <w:r>
        <w:rPr>
          <w:kern w:val="0"/>
          <w:sz w:val="28"/>
          <w:szCs w:val="28"/>
        </w:rPr>
        <w:t>Оценивая доводы административного истца, суд отмечает, что п</w:t>
      </w:r>
      <w:r>
        <w:rPr>
          <w:rFonts w:eastAsia="Calibri"/>
          <w:kern w:val="0"/>
          <w:sz w:val="28"/>
          <w:szCs w:val="28"/>
        </w:rPr>
        <w:t>равоотношения, возникающие в связи с соотнесением размера устанавливаемого тарифа с предельным уровнем изменения размера вносимой гражданами платы за коммунальные услуги, подлежат урегулированию уполномоченным органом субъекта Российской Федерации с учетом нормативных правовых актов в данной сфере, предусматривающих в том числе возможность установления льготных тарифов, выплаты субсидий в целях возмещения недополученной выручки организациям, осуществляющим деятельность по регулируемым ценам (тарифам) (</w:t>
      </w:r>
      <w:hyperlink r:id="rId45" w:history="1">
        <w:r>
          <w:rPr>
            <w:rStyle w:val="a3"/>
            <w:rFonts w:eastAsia="Calibri"/>
            <w:kern w:val="0"/>
            <w:sz w:val="28"/>
            <w:szCs w:val="28"/>
          </w:rPr>
          <w:t>часть 14 статьи 10</w:t>
        </w:r>
      </w:hyperlink>
      <w:r>
        <w:rPr>
          <w:rFonts w:eastAsia="Calibri"/>
          <w:kern w:val="0"/>
          <w:sz w:val="28"/>
          <w:szCs w:val="28"/>
        </w:rPr>
        <w:t xml:space="preserve"> Закона о теплоснабжении).</w:t>
      </w:r>
    </w:p>
    <w:p w:rsidR="005A5AE3" w:rsidRDefault="005A5AE3" w:rsidP="005A5AE3">
      <w:pPr>
        <w:adjustRightInd w:val="0"/>
        <w:ind w:firstLine="709"/>
        <w:jc w:val="both"/>
        <w:rPr>
          <w:rFonts w:eastAsia="Calibri"/>
          <w:kern w:val="0"/>
          <w:sz w:val="28"/>
          <w:szCs w:val="28"/>
        </w:rPr>
      </w:pPr>
      <w:r>
        <w:rPr>
          <w:rFonts w:eastAsia="Calibri"/>
          <w:kern w:val="0"/>
          <w:sz w:val="28"/>
          <w:szCs w:val="28"/>
        </w:rPr>
        <w:t xml:space="preserve">Кроме того, в </w:t>
      </w:r>
      <w:hyperlink r:id="rId46" w:history="1">
        <w:r>
          <w:rPr>
            <w:rStyle w:val="a3"/>
            <w:rFonts w:eastAsia="Calibri"/>
            <w:kern w:val="0"/>
            <w:sz w:val="28"/>
            <w:szCs w:val="28"/>
          </w:rPr>
          <w:t>пункте 8</w:t>
        </w:r>
      </w:hyperlink>
      <w:r>
        <w:rPr>
          <w:rFonts w:eastAsia="Calibri"/>
          <w:kern w:val="0"/>
          <w:sz w:val="28"/>
          <w:szCs w:val="28"/>
        </w:rPr>
        <w:t xml:space="preserve"> постановления Правительства Российской Федерации от 22 октября 2012 года № 1075 предусмотрено, что установление цен (тарифов) в сфере теплоснабжения с учетом </w:t>
      </w:r>
      <w:hyperlink r:id="rId47" w:history="1">
        <w:r>
          <w:rPr>
            <w:rStyle w:val="a3"/>
            <w:rFonts w:eastAsia="Calibri"/>
            <w:kern w:val="0"/>
            <w:sz w:val="28"/>
            <w:szCs w:val="28"/>
          </w:rPr>
          <w:t>пунктов 48(1)</w:t>
        </w:r>
      </w:hyperlink>
      <w:r>
        <w:rPr>
          <w:rFonts w:eastAsia="Calibri"/>
          <w:kern w:val="0"/>
          <w:sz w:val="28"/>
          <w:szCs w:val="28"/>
        </w:rPr>
        <w:t xml:space="preserve"> и </w:t>
      </w:r>
      <w:hyperlink r:id="rId48" w:history="1">
        <w:r>
          <w:rPr>
            <w:rStyle w:val="a3"/>
            <w:rFonts w:eastAsia="Calibri"/>
            <w:kern w:val="0"/>
            <w:sz w:val="28"/>
            <w:szCs w:val="28"/>
          </w:rPr>
          <w:t>74(1)</w:t>
        </w:r>
      </w:hyperlink>
      <w:r>
        <w:rPr>
          <w:rFonts w:eastAsia="Calibri"/>
          <w:kern w:val="0"/>
          <w:sz w:val="28"/>
          <w:szCs w:val="28"/>
        </w:rPr>
        <w:t xml:space="preserve"> Основ ценообразования не является основанием для изменения (пересмотра)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w:t>
      </w:r>
      <w:r>
        <w:rPr>
          <w:rFonts w:eastAsia="Calibri"/>
          <w:kern w:val="0"/>
          <w:sz w:val="28"/>
          <w:szCs w:val="28"/>
        </w:rPr>
        <w:lastRenderedPageBreak/>
        <w:t xml:space="preserve">величины указанных индексов по субъектам Российской Федерации в соответствии с </w:t>
      </w:r>
      <w:hyperlink r:id="rId49" w:history="1">
        <w:r>
          <w:rPr>
            <w:rStyle w:val="a3"/>
            <w:rFonts w:eastAsia="Calibri"/>
            <w:kern w:val="0"/>
            <w:sz w:val="28"/>
            <w:szCs w:val="28"/>
          </w:rPr>
          <w:t>Основами</w:t>
        </w:r>
      </w:hyperlink>
      <w:r>
        <w:rPr>
          <w:rFonts w:eastAsia="Calibri"/>
          <w:kern w:val="0"/>
          <w:sz w:val="28"/>
          <w:szCs w:val="28"/>
        </w:rPr>
        <w:t xml:space="preserve"> формирования индексов изменения размера платы граждан за коммунальные услуги в Российской Федерации, утвержденными постановлением Правительства Российской Федерации от 30 апреля 2014 года № 400 «О формировании индексов изменения размера платы граждан за коммунальные услуги в Российской Федерации».</w:t>
      </w:r>
    </w:p>
    <w:p w:rsidR="005A5AE3" w:rsidRDefault="005A5AE3" w:rsidP="005A5AE3">
      <w:pPr>
        <w:ind w:firstLine="709"/>
        <w:jc w:val="both"/>
        <w:rPr>
          <w:kern w:val="0"/>
          <w:sz w:val="28"/>
          <w:szCs w:val="28"/>
        </w:rPr>
      </w:pPr>
      <w:r>
        <w:rPr>
          <w:kern w:val="0"/>
          <w:sz w:val="28"/>
          <w:szCs w:val="28"/>
        </w:rPr>
        <w:t xml:space="preserve">Учитывая вышеприведенные обстоятельства в совокупности, суд приходит к выводу о том, что оспариваемые постановления Госкомитета </w:t>
      </w:r>
      <w:r>
        <w:rPr>
          <w:sz w:val="28"/>
          <w:szCs w:val="28"/>
        </w:rPr>
        <w:t xml:space="preserve">от 15 декабря 2023 года № 721-77/тэ-2023, от 20 декабря 2024 года № 736-123/тэ-2024 </w:t>
      </w:r>
      <w:r>
        <w:rPr>
          <w:kern w:val="0"/>
          <w:sz w:val="28"/>
          <w:szCs w:val="28"/>
        </w:rPr>
        <w:t>не соответствуют нормативным правовым актам, имеющим большую юридическую силу, а также нарушают права и законные интересы административного истца.</w:t>
      </w:r>
    </w:p>
    <w:p w:rsidR="005A5AE3" w:rsidRDefault="005A5AE3" w:rsidP="005A5AE3">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5A5AE3" w:rsidRDefault="005A5AE3" w:rsidP="005A5AE3">
      <w:pPr>
        <w:pStyle w:val="ConsPlusNormal"/>
        <w:ind w:firstLine="709"/>
        <w:jc w:val="both"/>
      </w:pPr>
      <w:r>
        <w:t xml:space="preserve">Поскольку оспариваемые нормативные правовые акты имеют ограниченный срок действия, признание отдельных их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50" w:history="1">
        <w:r>
          <w:rPr>
            <w:rStyle w:val="a3"/>
          </w:rPr>
          <w:t>статьей 3</w:t>
        </w:r>
      </w:hyperlink>
      <w:r>
        <w:t xml:space="preserve"> Кодекса административного судопроизводства Российской Федерации, поэтому суд полагает необходимым признать их недействующими со дня принятия.</w:t>
      </w:r>
    </w:p>
    <w:p w:rsidR="005A5AE3" w:rsidRDefault="005A5AE3" w:rsidP="005A5AE3">
      <w:pPr>
        <w:adjustRightInd w:val="0"/>
        <w:ind w:firstLine="709"/>
        <w:jc w:val="both"/>
        <w:rPr>
          <w:kern w:val="0"/>
          <w:sz w:val="28"/>
          <w:szCs w:val="28"/>
        </w:rPr>
      </w:pPr>
      <w:r>
        <w:rPr>
          <w:kern w:val="0"/>
          <w:sz w:val="28"/>
          <w:szCs w:val="28"/>
        </w:rPr>
        <w:t xml:space="preserve">Принимая во внимание, что в связи с признанием постановлений Госкомитета </w:t>
      </w:r>
      <w:r>
        <w:rPr>
          <w:sz w:val="28"/>
          <w:szCs w:val="28"/>
        </w:rPr>
        <w:t xml:space="preserve">от 15 декабря 2023 года № 721-77/тэ-2023, от 20 декабря 2024 года № 736-123/тэ-2024 </w:t>
      </w:r>
      <w:r>
        <w:rPr>
          <w:kern w:val="0"/>
          <w:sz w:val="28"/>
          <w:szCs w:val="28"/>
        </w:rPr>
        <w:t>недействующими наступит недостаточная правовая урегулированность административных правоотношений, которая может повлечь за собой нарушение прав, свобод и законных интересов неопределенного круга лиц, суд, руководствуясь частью 4 статьи 216</w:t>
      </w:r>
      <w:r>
        <w:t xml:space="preserve"> </w:t>
      </w:r>
      <w:r>
        <w:rPr>
          <w:sz w:val="28"/>
          <w:szCs w:val="28"/>
        </w:rPr>
        <w:t>Кодекса административного судопроизводства Российской Федерации,</w:t>
      </w:r>
      <w:r>
        <w:rPr>
          <w:kern w:val="0"/>
          <w:sz w:val="28"/>
          <w:szCs w:val="28"/>
        </w:rPr>
        <w:t xml:space="preserve"> полагает необходимым возложить на регулирующий орган как орган государственной власти, принявший оспариваемые нормативные правовые акты, обязанность принять новые нормативные правовые акты, заменяющие нормативные правовые акты, признанные недействующими. </w:t>
      </w:r>
    </w:p>
    <w:p w:rsidR="005A5AE3" w:rsidRDefault="005A5AE3" w:rsidP="005A5AE3">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5A5AE3" w:rsidRDefault="005A5AE3" w:rsidP="005A5AE3">
      <w:pPr>
        <w:jc w:val="center"/>
        <w:rPr>
          <w:sz w:val="28"/>
        </w:rPr>
      </w:pPr>
    </w:p>
    <w:p w:rsidR="005A5AE3" w:rsidRDefault="005A5AE3" w:rsidP="005A5AE3">
      <w:pPr>
        <w:jc w:val="center"/>
        <w:rPr>
          <w:sz w:val="28"/>
        </w:rPr>
      </w:pPr>
      <w:r>
        <w:rPr>
          <w:sz w:val="28"/>
        </w:rPr>
        <w:t>Р Е Ш И Л:</w:t>
      </w:r>
    </w:p>
    <w:p w:rsidR="005A5AE3" w:rsidRDefault="005A5AE3" w:rsidP="005A5AE3">
      <w:pPr>
        <w:jc w:val="center"/>
        <w:rPr>
          <w:sz w:val="28"/>
        </w:rPr>
      </w:pPr>
    </w:p>
    <w:p w:rsidR="005A5AE3" w:rsidRDefault="005A5AE3" w:rsidP="005A5AE3">
      <w:pPr>
        <w:pStyle w:val="a6"/>
        <w:rPr>
          <w:sz w:val="28"/>
          <w:szCs w:val="28"/>
        </w:rPr>
      </w:pPr>
      <w:r>
        <w:rPr>
          <w:sz w:val="28"/>
          <w:szCs w:val="28"/>
        </w:rPr>
        <w:lastRenderedPageBreak/>
        <w:t>административное исковое заявление акционерного общества «Татэнерго» удовлетворить.</w:t>
      </w:r>
    </w:p>
    <w:p w:rsidR="005A5AE3" w:rsidRDefault="005A5AE3" w:rsidP="005A5AE3">
      <w:pPr>
        <w:pStyle w:val="a6"/>
        <w:rPr>
          <w:kern w:val="0"/>
          <w:sz w:val="28"/>
          <w:szCs w:val="28"/>
        </w:rPr>
      </w:pPr>
      <w:r>
        <w:rPr>
          <w:sz w:val="28"/>
          <w:szCs w:val="28"/>
        </w:rPr>
        <w:t xml:space="preserve">Признать недействующими </w:t>
      </w:r>
      <w:r>
        <w:rPr>
          <w:kern w:val="0"/>
          <w:sz w:val="28"/>
          <w:szCs w:val="28"/>
        </w:rPr>
        <w:t xml:space="preserve">со дня принятия </w:t>
      </w:r>
    </w:p>
    <w:p w:rsidR="005A5AE3" w:rsidRDefault="005A5AE3" w:rsidP="005A5AE3">
      <w:pPr>
        <w:pStyle w:val="a6"/>
        <w:rPr>
          <w:sz w:val="28"/>
          <w:szCs w:val="28"/>
        </w:rPr>
      </w:pPr>
      <w:r>
        <w:rPr>
          <w:sz w:val="28"/>
          <w:szCs w:val="28"/>
        </w:rPr>
        <w:t>постановление Государственного комитета Республики Татарстан по тарифам от 15 декабря 2023 года № 721-77/тэ-2023 «Об установлении тарифов на тепловую энергию, поставляемую Акционерным обществом «Татэнерго» потребителям, другим теплоснабжающим организациям города Набережные Челны, на 2024-2028 годы»,</w:t>
      </w:r>
    </w:p>
    <w:p w:rsidR="005A5AE3" w:rsidRDefault="005A5AE3" w:rsidP="005A5AE3">
      <w:pPr>
        <w:pStyle w:val="a6"/>
        <w:rPr>
          <w:sz w:val="28"/>
        </w:rPr>
      </w:pPr>
      <w:r>
        <w:rPr>
          <w:sz w:val="28"/>
          <w:szCs w:val="28"/>
        </w:rPr>
        <w:t>постановление Государственного комитета Республики Татарстан по тарифам от 20 декабря 2024 года № 736-123/тэ-2024 «О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Набережные Челны, установленных постановлением Государственного комитета Республики Татарстан по тарифам 15 декабря 2023 года № 721-77/тэ-2023».</w:t>
      </w:r>
    </w:p>
    <w:p w:rsidR="005A5AE3" w:rsidRDefault="005A5AE3" w:rsidP="005A5AE3">
      <w:pPr>
        <w:adjustRightInd w:val="0"/>
        <w:ind w:firstLine="709"/>
        <w:jc w:val="both"/>
        <w:rPr>
          <w:sz w:val="28"/>
          <w:szCs w:val="28"/>
        </w:rPr>
      </w:pPr>
      <w:r>
        <w:rPr>
          <w:sz w:val="28"/>
          <w:szCs w:val="28"/>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новые нормативные правовые акты </w:t>
      </w:r>
    </w:p>
    <w:p w:rsidR="005A5AE3" w:rsidRDefault="005A5AE3" w:rsidP="005A5AE3">
      <w:pPr>
        <w:adjustRightInd w:val="0"/>
        <w:ind w:firstLine="709"/>
        <w:jc w:val="both"/>
        <w:rPr>
          <w:sz w:val="28"/>
          <w:szCs w:val="28"/>
        </w:rPr>
      </w:pPr>
      <w:r>
        <w:rPr>
          <w:sz w:val="28"/>
          <w:szCs w:val="28"/>
        </w:rPr>
        <w:t>об установлении тарифов на тепловую энергию, поставляемую Акционерным обществом «Татэнерго» потребителям, другим теплоснабжающим организациям города Набережные Челны, на 2024-2028 годы,</w:t>
      </w:r>
    </w:p>
    <w:p w:rsidR="005A5AE3" w:rsidRDefault="005A5AE3" w:rsidP="005A5AE3">
      <w:pPr>
        <w:adjustRightInd w:val="0"/>
        <w:ind w:firstLine="709"/>
        <w:jc w:val="both"/>
        <w:rPr>
          <w:sz w:val="28"/>
          <w:szCs w:val="28"/>
        </w:rPr>
      </w:pPr>
      <w:r>
        <w:rPr>
          <w:sz w:val="28"/>
          <w:szCs w:val="28"/>
        </w:rPr>
        <w:t>о корректировке на 2025 год тарифов на тепловую энергию, поставляемую Акционерным обществом «Татэнерго» потребителям, другим теплоснабжающим организациям города Набережные Челны.</w:t>
      </w:r>
    </w:p>
    <w:p w:rsidR="005A5AE3" w:rsidRDefault="005A5AE3" w:rsidP="005A5AE3">
      <w:pPr>
        <w:pStyle w:val="a6"/>
        <w:rPr>
          <w:sz w:val="28"/>
          <w:szCs w:val="28"/>
        </w:rPr>
      </w:pPr>
      <w:r>
        <w:rPr>
          <w:sz w:val="28"/>
          <w:szCs w:val="28"/>
        </w:rPr>
        <w:t>Взыскать с Государственного комитета Республики Татарстан по тарифам в пользу акционерного общества «Татэнерго» в возврат уплаченной государственной пошлины 40 000 рублей.</w:t>
      </w:r>
    </w:p>
    <w:p w:rsidR="005A5AE3" w:rsidRDefault="005A5AE3" w:rsidP="005A5AE3">
      <w:pPr>
        <w:pStyle w:val="a6"/>
        <w:rPr>
          <w:sz w:val="28"/>
          <w:szCs w:val="28"/>
        </w:rPr>
      </w:pPr>
      <w:r>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5A5AE3" w:rsidRDefault="005A5AE3" w:rsidP="005A5AE3">
      <w:pPr>
        <w:pStyle w:val="a4"/>
        <w:ind w:firstLine="720"/>
        <w:rPr>
          <w:sz w:val="28"/>
          <w:szCs w:val="28"/>
        </w:rPr>
      </w:pPr>
      <w:r>
        <w:rPr>
          <w:sz w:val="28"/>
        </w:rPr>
        <w:t xml:space="preserve">Решение может быть обжаловано в течение месяца со дня принятия его  судом в окончательной форме через Верховный Суд Республики Татарстан в </w:t>
      </w:r>
      <w:r>
        <w:rPr>
          <w:sz w:val="28"/>
          <w:szCs w:val="28"/>
        </w:rPr>
        <w:t>Четвертый апелляционный суд общей юрисдикции.</w:t>
      </w:r>
    </w:p>
    <w:p w:rsidR="005A5AE3" w:rsidRDefault="005A5AE3" w:rsidP="005A5AE3">
      <w:pPr>
        <w:pStyle w:val="a4"/>
        <w:rPr>
          <w:sz w:val="28"/>
          <w:szCs w:val="28"/>
        </w:rPr>
      </w:pPr>
    </w:p>
    <w:p w:rsidR="005A5AE3" w:rsidRDefault="005A5AE3" w:rsidP="005A5AE3">
      <w:pPr>
        <w:pStyle w:val="a4"/>
        <w:rPr>
          <w:sz w:val="28"/>
          <w:szCs w:val="28"/>
        </w:rPr>
      </w:pPr>
    </w:p>
    <w:p w:rsidR="005A5AE3" w:rsidRDefault="005A5AE3" w:rsidP="005A5AE3">
      <w:pPr>
        <w:pStyle w:val="2"/>
        <w:rPr>
          <w:szCs w:val="28"/>
        </w:rPr>
      </w:pPr>
      <w:r>
        <w:rPr>
          <w:szCs w:val="28"/>
        </w:rPr>
        <w:t xml:space="preserve">Судья                                                                          Э.С. Каминский </w:t>
      </w:r>
    </w:p>
    <w:p w:rsidR="005A5AE3" w:rsidRDefault="005A5AE3" w:rsidP="005A5AE3">
      <w:pPr>
        <w:rPr>
          <w:sz w:val="28"/>
          <w:szCs w:val="28"/>
        </w:rPr>
      </w:pPr>
    </w:p>
    <w:p w:rsidR="005A5AE3" w:rsidRDefault="005A5AE3" w:rsidP="005A5AE3">
      <w:pPr>
        <w:rPr>
          <w:sz w:val="28"/>
          <w:szCs w:val="28"/>
        </w:rPr>
      </w:pPr>
    </w:p>
    <w:p w:rsidR="005A5AE3" w:rsidRDefault="005A5AE3" w:rsidP="005A5AE3">
      <w:pPr>
        <w:rPr>
          <w:kern w:val="0"/>
          <w:sz w:val="28"/>
          <w:szCs w:val="28"/>
        </w:rPr>
      </w:pPr>
      <w:r>
        <w:rPr>
          <w:kern w:val="0"/>
          <w:sz w:val="28"/>
          <w:szCs w:val="28"/>
        </w:rPr>
        <w:t>Справка: решение принято судом в окончательной форме 3 июня 2025 года.</w:t>
      </w:r>
    </w:p>
    <w:p w:rsidR="005A5AE3" w:rsidRDefault="005A5AE3" w:rsidP="005A5AE3">
      <w:pPr>
        <w:rPr>
          <w:sz w:val="28"/>
          <w:szCs w:val="28"/>
        </w:rPr>
      </w:pPr>
    </w:p>
    <w:p w:rsidR="005A5AE3" w:rsidRDefault="005A5AE3" w:rsidP="005A5AE3">
      <w:pPr>
        <w:rPr>
          <w:sz w:val="28"/>
          <w:szCs w:val="28"/>
        </w:rPr>
      </w:pPr>
    </w:p>
    <w:p w:rsidR="005A5AE3" w:rsidRDefault="005A5AE3" w:rsidP="005A5AE3">
      <w:pPr>
        <w:jc w:val="both"/>
      </w:pPr>
      <w:r>
        <w:rPr>
          <w:sz w:val="28"/>
          <w:szCs w:val="28"/>
        </w:rPr>
        <w:t>Судья                                                                          Э.С. Каминский</w:t>
      </w: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916D0C"/>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47C64"/>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A5AE3"/>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16D0C"/>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0E904-D474-4036-B3F5-84521C14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AE3"/>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5A5AE3"/>
    <w:pPr>
      <w:keepNext/>
      <w:jc w:val="right"/>
      <w:outlineLvl w:val="0"/>
    </w:pPr>
    <w:rPr>
      <w:sz w:val="24"/>
    </w:rPr>
  </w:style>
  <w:style w:type="paragraph" w:styleId="2">
    <w:name w:val="heading 2"/>
    <w:basedOn w:val="a"/>
    <w:next w:val="a"/>
    <w:link w:val="20"/>
    <w:semiHidden/>
    <w:unhideWhenUsed/>
    <w:qFormat/>
    <w:rsid w:val="005A5AE3"/>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5AE3"/>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5A5AE3"/>
    <w:rPr>
      <w:rFonts w:ascii="Times New Roman" w:eastAsia="Times New Roman" w:hAnsi="Times New Roman" w:cs="Times New Roman"/>
      <w:kern w:val="28"/>
      <w:sz w:val="28"/>
      <w:szCs w:val="24"/>
      <w:lang w:eastAsia="ru-RU"/>
    </w:rPr>
  </w:style>
  <w:style w:type="character" w:styleId="a3">
    <w:name w:val="Hyperlink"/>
    <w:basedOn w:val="a0"/>
    <w:uiPriority w:val="99"/>
    <w:semiHidden/>
    <w:unhideWhenUsed/>
    <w:rsid w:val="005A5AE3"/>
    <w:rPr>
      <w:color w:val="0000FF" w:themeColor="hyperlink"/>
      <w:u w:val="single"/>
    </w:rPr>
  </w:style>
  <w:style w:type="paragraph" w:styleId="a4">
    <w:name w:val="Body Text"/>
    <w:basedOn w:val="a"/>
    <w:link w:val="a5"/>
    <w:semiHidden/>
    <w:unhideWhenUsed/>
    <w:rsid w:val="005A5AE3"/>
    <w:pPr>
      <w:jc w:val="both"/>
    </w:pPr>
  </w:style>
  <w:style w:type="character" w:customStyle="1" w:styleId="a5">
    <w:name w:val="Основной текст Знак"/>
    <w:basedOn w:val="a0"/>
    <w:link w:val="a4"/>
    <w:semiHidden/>
    <w:rsid w:val="005A5AE3"/>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5A5AE3"/>
    <w:pPr>
      <w:ind w:firstLine="720"/>
      <w:jc w:val="both"/>
    </w:pPr>
  </w:style>
  <w:style w:type="character" w:customStyle="1" w:styleId="a7">
    <w:name w:val="Основной текст с отступом Знак"/>
    <w:basedOn w:val="a0"/>
    <w:link w:val="a6"/>
    <w:semiHidden/>
    <w:rsid w:val="005A5AE3"/>
    <w:rPr>
      <w:rFonts w:ascii="Times New Roman" w:eastAsia="Times New Roman" w:hAnsi="Times New Roman" w:cs="Times New Roman"/>
      <w:kern w:val="28"/>
      <w:sz w:val="20"/>
      <w:szCs w:val="24"/>
      <w:lang w:eastAsia="ru-RU"/>
    </w:rPr>
  </w:style>
  <w:style w:type="paragraph" w:customStyle="1" w:styleId="ConsPlusNormal">
    <w:name w:val="ConsPlusNormal"/>
    <w:rsid w:val="005A5AE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8">
    <w:name w:val="Основной текст_"/>
    <w:link w:val="11"/>
    <w:locked/>
    <w:rsid w:val="005A5AE3"/>
    <w:rPr>
      <w:sz w:val="26"/>
      <w:szCs w:val="26"/>
      <w:shd w:val="clear" w:color="auto" w:fill="FFFFFF"/>
    </w:rPr>
  </w:style>
  <w:style w:type="paragraph" w:customStyle="1" w:styleId="11">
    <w:name w:val="Основной текст1"/>
    <w:basedOn w:val="a"/>
    <w:link w:val="a8"/>
    <w:rsid w:val="005A5AE3"/>
    <w:pPr>
      <w:widowControl w:val="0"/>
      <w:shd w:val="clear" w:color="auto" w:fill="FFFFFF"/>
      <w:autoSpaceDE/>
      <w:autoSpaceDN/>
      <w:ind w:firstLine="400"/>
    </w:pPr>
    <w:rPr>
      <w:rFonts w:asciiTheme="minorHAnsi" w:eastAsiaTheme="minorHAnsi" w:hAnsiTheme="minorHAnsi" w:cstheme="minorBidi"/>
      <w:kern w:val="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70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48692B31B583D530FBE10A34C63DE9808A4937D9E98A12725252BD15iFdFI" TargetMode="External"/><Relationship Id="rId18" Type="http://schemas.openxmlformats.org/officeDocument/2006/relationships/hyperlink" Target="https://login.consultant.ru/link/?req=doc&amp;base=LAW&amp;n=504212&amp;dst=319" TargetMode="External"/><Relationship Id="rId26" Type="http://schemas.openxmlformats.org/officeDocument/2006/relationships/hyperlink" Target="consultantplus://offline/ref=AF48692B31B583D530FBE10A34C63DE9808A4937D9E98A12725252BD15iFdFI" TargetMode="External"/><Relationship Id="rId39" Type="http://schemas.openxmlformats.org/officeDocument/2006/relationships/hyperlink" Target="https://login.consultant.ru/link/?req=doc&amp;base=LAW&amp;n=30419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5294&amp;dst=100015" TargetMode="External"/><Relationship Id="rId34" Type="http://schemas.openxmlformats.org/officeDocument/2006/relationships/hyperlink" Target="https://login.consultant.ru/link/?req=doc&amp;base=LAW&amp;n=504212&amp;dst=100955" TargetMode="External"/><Relationship Id="rId42" Type="http://schemas.openxmlformats.org/officeDocument/2006/relationships/hyperlink" Target="https://login.consultant.ru/link/?req=doc&amp;base=LAW&amp;n=302112&amp;dst=100033" TargetMode="External"/><Relationship Id="rId47" Type="http://schemas.openxmlformats.org/officeDocument/2006/relationships/hyperlink" Target="https://login.consultant.ru/link/?req=doc&amp;base=LAW&amp;n=302112&amp;dst=28" TargetMode="External"/><Relationship Id="rId50" Type="http://schemas.openxmlformats.org/officeDocument/2006/relationships/hyperlink" Target="consultantplus://offline/ref=45BAE80B6225D18B4BA20F4FA66774E05F518A40A68158D1612090418EC00F9911CD6683611DFBFC292BP" TargetMode="External"/><Relationship Id="rId7" Type="http://schemas.openxmlformats.org/officeDocument/2006/relationships/hyperlink" Target="consultantplus://offline/ref=3B823B67044EED15A854386EBA6CE8B791BE7FC2294EB8D5DCBCEF2FB9FBFF3C462AF92E6711670A29B9CFAB1422F21BD1DC34EDB6B21A4172J8K" TargetMode="External"/><Relationship Id="rId12" Type="http://schemas.openxmlformats.org/officeDocument/2006/relationships/hyperlink" Target="consultantplus://offline/ref=AF48692B31B583D530FBE10A34C63DE9808A4937D9E98A12725252BD15iFdFI" TargetMode="External"/><Relationship Id="rId17" Type="http://schemas.openxmlformats.org/officeDocument/2006/relationships/hyperlink" Target="consultantplus://offline/ref=2935AA1B3C93D4C7F95A3B8E4C37B28AE20992FA93C86EEC9D369712F170E3D52D6504B65E5FF7B36E1FDB9B615CEBEC0C0E78C244018A87uBkFI" TargetMode="External"/><Relationship Id="rId25" Type="http://schemas.openxmlformats.org/officeDocument/2006/relationships/hyperlink" Target="consultantplus://offline/ref=77255D58529810C30E29198506A50984A2CA1D5388C5D5DEBAAB4283762A268E227D63EF96F2EFA81D9E91277D555D6297122621A3DF0882B5bAJ" TargetMode="External"/><Relationship Id="rId33" Type="http://schemas.openxmlformats.org/officeDocument/2006/relationships/image" Target="media/image3.wmf"/><Relationship Id="rId38" Type="http://schemas.openxmlformats.org/officeDocument/2006/relationships/hyperlink" Target="https://login.consultant.ru/link/?req=doc&amp;base=LAW&amp;n=280991&amp;dst=100083" TargetMode="External"/><Relationship Id="rId46" Type="http://schemas.openxmlformats.org/officeDocument/2006/relationships/hyperlink" Target="https://login.consultant.ru/link/?req=doc&amp;base=LAW&amp;n=302112&amp;dst=25" TargetMode="External"/><Relationship Id="rId2" Type="http://schemas.openxmlformats.org/officeDocument/2006/relationships/settings" Target="settings.xml"/><Relationship Id="rId16" Type="http://schemas.openxmlformats.org/officeDocument/2006/relationships/hyperlink" Target="consultantplus://offline/ref=2935AA1B3C93D4C7F95A3B8E4C37B28AE20992FA93C86EEC9D369712F170E3D52D6504B65E5FF7B2691FDB9B615CEBEC0C0E78C244018A87uBkFI" TargetMode="External"/><Relationship Id="rId20" Type="http://schemas.openxmlformats.org/officeDocument/2006/relationships/hyperlink" Target="https://login.consultant.ru/link/?req=doc&amp;base=LAW&amp;n=504212&amp;dst=100245" TargetMode="External"/><Relationship Id="rId29" Type="http://schemas.openxmlformats.org/officeDocument/2006/relationships/hyperlink" Target="https://login.consultant.ru/link/?req=doc&amp;base=LAW&amp;n=475532&amp;dst=101834" TargetMode="External"/><Relationship Id="rId41" Type="http://schemas.openxmlformats.org/officeDocument/2006/relationships/hyperlink" Target="https://login.consultant.ru/link/?req=doc&amp;base=LAW&amp;n=302112&amp;dst=100496" TargetMode="External"/><Relationship Id="rId1" Type="http://schemas.openxmlformats.org/officeDocument/2006/relationships/styles" Target="styles.xml"/><Relationship Id="rId6" Type="http://schemas.openxmlformats.org/officeDocument/2006/relationships/hyperlink" Target="consultantplus://offline/ref=694C0C1B857021786AF5A65C3A0C45569017F07E15E8F7571FB2204145V6y8N" TargetMode="External"/><Relationship Id="rId11" Type="http://schemas.openxmlformats.org/officeDocument/2006/relationships/hyperlink" Target="consultantplus://offline/ref=4567F1CE879644266D20E73576B63ABBCDB82EE0C96D74BE0BE04939C8C7o9J" TargetMode="External"/><Relationship Id="rId24" Type="http://schemas.openxmlformats.org/officeDocument/2006/relationships/hyperlink" Target="consultantplus://offline/ref=77255D58529810C30E29198506A50984A2C81B5686C7D5DEBAAB4283762A268E227D63EF96F2E9A81A9E91277D555D6297122621A3DF0882B5bAJ" TargetMode="External"/><Relationship Id="rId32" Type="http://schemas.openxmlformats.org/officeDocument/2006/relationships/image" Target="media/image2.wmf"/><Relationship Id="rId37" Type="http://schemas.openxmlformats.org/officeDocument/2006/relationships/hyperlink" Target="https://login.consultant.ru/link/?req=doc&amp;base=LAW&amp;n=302112&amp;dst=100277" TargetMode="External"/><Relationship Id="rId40" Type="http://schemas.openxmlformats.org/officeDocument/2006/relationships/hyperlink" Target="https://login.consultant.ru/link/?req=doc&amp;base=LAW&amp;n=302112&amp;dst=100496" TargetMode="External"/><Relationship Id="rId45" Type="http://schemas.openxmlformats.org/officeDocument/2006/relationships/hyperlink" Target="https://login.consultant.ru/link/?req=doc&amp;base=LAW&amp;n=302970&amp;dst=100189" TargetMode="External"/><Relationship Id="rId5" Type="http://schemas.openxmlformats.org/officeDocument/2006/relationships/oleObject" Target="embeddings/oleObject1.bin"/><Relationship Id="rId15" Type="http://schemas.openxmlformats.org/officeDocument/2006/relationships/hyperlink" Target="consultantplus://offline/ref=2935AA1B3C93D4C7F95A3B8E4C37B28AE20992FA93C86EEC9D369712F170E3D52D6504B65E5FF7B26B1FDB9B615CEBEC0C0E78C244018A87uBkFI" TargetMode="External"/><Relationship Id="rId23" Type="http://schemas.openxmlformats.org/officeDocument/2006/relationships/hyperlink" Target="https://login.consultant.ru/link/?req=doc&amp;base=LAW&amp;n=431832&amp;dst=378" TargetMode="External"/><Relationship Id="rId28" Type="http://schemas.openxmlformats.org/officeDocument/2006/relationships/hyperlink" Target="https://login.consultant.ru/link/?req=doc&amp;base=LAW&amp;n=302112&amp;dst=100935" TargetMode="External"/><Relationship Id="rId36" Type="http://schemas.openxmlformats.org/officeDocument/2006/relationships/hyperlink" Target="https://login.consultant.ru/link/?req=doc&amp;base=LAW&amp;n=302112&amp;dst=100247" TargetMode="External"/><Relationship Id="rId49" Type="http://schemas.openxmlformats.org/officeDocument/2006/relationships/hyperlink" Target="https://login.consultant.ru/link/?req=doc&amp;base=LAW&amp;n=277906&amp;dst=100011" TargetMode="External"/><Relationship Id="rId10" Type="http://schemas.openxmlformats.org/officeDocument/2006/relationships/hyperlink" Target="consultantplus://offline/ref=A43B6A0C3B548AD773F7AE04D8E3F8D0F84C30A045125F07199AD8610DF4129EDF3A5A1A7BE2CBE7A4D606628A0880C4FC054DD5A535E7FFd4H2K" TargetMode="External"/><Relationship Id="rId19" Type="http://schemas.openxmlformats.org/officeDocument/2006/relationships/hyperlink" Target="https://login.consultant.ru/link/?req=doc&amp;base=LAW&amp;n=504212&amp;dst=100399" TargetMode="External"/><Relationship Id="rId31" Type="http://schemas.openxmlformats.org/officeDocument/2006/relationships/hyperlink" Target="file:///\\10.116.251.19\&#1086;&#1073;&#1097;&#1072;&#1103;_&#1087;&#1072;&#1087;&#1082;&#1072;\&#1055;&#1086;&#1084;&#1086;&#1097;&#1085;&#1080;&#1082;&#1080;%20&#1088;&#1091;&#1082;&#1086;&#1074;&#1086;&#1076;&#1089;&#1090;&#1074;&#1072;\&#1060;&#1072;&#1079;&#1083;&#1091;&#1090;&#1076;&#1080;&#1085;&#1086;&#1074;&#1072;_&#1040;&#1040;\&#1054;&#1041;&#1045;&#1047;&#1051;&#1048;&#1063;&#1048;&#1042;&#1040;&#1053;&#1048;&#1045;\&#1088;&#1077;&#1096;&#1077;&#1085;&#1080;&#1077;%203-492-2025-%20&#1058;&#1072;&#1090;&#1101;&#1085;&#1077;&#1088;&#1075;&#1086;-&#1090;&#1072;&#1088;&#1080;&#1092;&#1099;-%20&#1090;&#1077;&#1087;&#1083;&#1086;.doc" TargetMode="External"/><Relationship Id="rId44" Type="http://schemas.openxmlformats.org/officeDocument/2006/relationships/hyperlink" Target="https://login.consultant.ru/link/?req=doc&amp;base=LAW&amp;n=302112&amp;dst=56" TargetMode="External"/><Relationship Id="rId52"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consultantplus://offline/ref=A43B6A0C3B548AD773F7AE04D8E3F8D0F84C30A045125F07199AD8610DF4129EDF3A5A1A7BE2C8EDADD606628A0880C4FC054DD5A535E7FFd4H2K" TargetMode="External"/><Relationship Id="rId14" Type="http://schemas.openxmlformats.org/officeDocument/2006/relationships/hyperlink" Target="consultantplus://offline/ref=2935AA1B3C93D4C7F95A3B8E4C37B28AE20992FA93C86EEC9D369712F170E3D52D6504B65E5FF7B1671FDB9B615CEBEC0C0E78C244018A87uBkFI" TargetMode="External"/><Relationship Id="rId22" Type="http://schemas.openxmlformats.org/officeDocument/2006/relationships/hyperlink" Target="https://login.consultant.ru/link/?req=doc&amp;base=LAW&amp;n=504212&amp;dst=319" TargetMode="External"/><Relationship Id="rId27" Type="http://schemas.openxmlformats.org/officeDocument/2006/relationships/hyperlink" Target="consultantplus://offline/ref=EAB5E41E7321A9703A9E6BFD6FBBDC0F9CF5CAE882CEC6399C9717520EB32896CE6C807E133B3CC20300A9303DC2D7733322942FCEDCsAE" TargetMode="External"/><Relationship Id="rId30" Type="http://schemas.openxmlformats.org/officeDocument/2006/relationships/hyperlink" Target="https://login.consultant.ru/link/?req=doc&amp;base=LAW&amp;n=302112&amp;dst=100937" TargetMode="External"/><Relationship Id="rId35" Type="http://schemas.openxmlformats.org/officeDocument/2006/relationships/hyperlink" Target="https://login.consultant.ru/link/?req=doc&amp;base=LAW&amp;n=483130" TargetMode="External"/><Relationship Id="rId43" Type="http://schemas.openxmlformats.org/officeDocument/2006/relationships/hyperlink" Target="https://login.consultant.ru/link/?req=doc&amp;base=LAW&amp;n=493666&amp;dst=100277" TargetMode="External"/><Relationship Id="rId48" Type="http://schemas.openxmlformats.org/officeDocument/2006/relationships/hyperlink" Target="https://login.consultant.ru/link/?req=doc&amp;base=LAW&amp;n=302112&amp;dst=59" TargetMode="External"/><Relationship Id="rId8" Type="http://schemas.openxmlformats.org/officeDocument/2006/relationships/hyperlink" Target="consultantplus://offline/ref=694C0C1B857021786AF5A65C3A0C45569017F07E15E8F7571FB2204145V6y8N" TargetMode="Externa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1</TotalTime>
  <Pages>17</Pages>
  <Words>6987</Words>
  <Characters>39827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2025-11-24T09:44:00Z</dcterms:created>
  <dcterms:modified xsi:type="dcterms:W3CDTF">2025-11-24T09:44:00Z</dcterms:modified>
</cp:coreProperties>
</file>