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D5ABD" w:rsidRDefault="00DD5ABD" w:rsidP="00DD5ABD">
      <w:pPr>
        <w:pStyle w:val="1"/>
        <w:jc w:val="center"/>
        <w:rPr>
          <w:sz w:val="28"/>
        </w:rPr>
      </w:pPr>
      <w:r>
        <w:object w:dxaOrig="108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1.5pt" o:ole="">
            <v:imagedata r:id="rId4" o:title=""/>
          </v:shape>
          <o:OLEObject Type="Embed" ProgID="PBrush" ShapeID="_x0000_i1025" DrawAspect="Content" ObjectID="_1825493415" r:id="rId5"/>
        </w:object>
      </w:r>
    </w:p>
    <w:p w:rsidR="00DD5ABD" w:rsidRDefault="00DD5ABD" w:rsidP="00DD5ABD">
      <w:pPr>
        <w:pStyle w:val="1"/>
        <w:rPr>
          <w:sz w:val="28"/>
        </w:rPr>
      </w:pPr>
      <w:r>
        <w:rPr>
          <w:sz w:val="28"/>
        </w:rPr>
        <w:t>дело № 3а-491/2025</w:t>
      </w:r>
    </w:p>
    <w:p w:rsidR="00DD5ABD" w:rsidRDefault="00DD5ABD" w:rsidP="00DD5ABD">
      <w:pPr>
        <w:jc w:val="right"/>
        <w:rPr>
          <w:sz w:val="28"/>
          <w:szCs w:val="28"/>
        </w:rPr>
      </w:pPr>
      <w:r>
        <w:rPr>
          <w:sz w:val="28"/>
          <w:szCs w:val="28"/>
        </w:rPr>
        <w:t>16OS0000-01-2025-000139-33</w:t>
      </w:r>
    </w:p>
    <w:p w:rsidR="00DD5ABD" w:rsidRDefault="00DD5ABD" w:rsidP="00DD5ABD">
      <w:pPr>
        <w:jc w:val="right"/>
        <w:rPr>
          <w:sz w:val="28"/>
        </w:rPr>
      </w:pPr>
    </w:p>
    <w:p w:rsidR="00DD5ABD" w:rsidRDefault="00DD5ABD" w:rsidP="00DD5ABD">
      <w:pPr>
        <w:jc w:val="center"/>
        <w:rPr>
          <w:sz w:val="28"/>
        </w:rPr>
      </w:pPr>
      <w:r>
        <w:rPr>
          <w:sz w:val="28"/>
        </w:rPr>
        <w:t>РЕШЕНИЕ</w:t>
      </w:r>
    </w:p>
    <w:p w:rsidR="00DD5ABD" w:rsidRDefault="00DD5ABD" w:rsidP="00DD5ABD">
      <w:pPr>
        <w:jc w:val="center"/>
        <w:rPr>
          <w:sz w:val="28"/>
        </w:rPr>
      </w:pPr>
      <w:r>
        <w:rPr>
          <w:sz w:val="28"/>
        </w:rPr>
        <w:t xml:space="preserve">ИМЕНЕМ РОССИЙСКОЙ ФЕДЕРАЦИИ </w:t>
      </w:r>
    </w:p>
    <w:p w:rsidR="00DD5ABD" w:rsidRDefault="00DD5ABD" w:rsidP="00DD5ABD">
      <w:pPr>
        <w:pStyle w:val="a4"/>
        <w:rPr>
          <w:sz w:val="28"/>
        </w:rPr>
      </w:pPr>
    </w:p>
    <w:p w:rsidR="00DD5ABD" w:rsidRDefault="00DD5ABD" w:rsidP="00DD5ABD">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30 мая 2025 года </w:t>
      </w:r>
    </w:p>
    <w:p w:rsidR="00DD5ABD" w:rsidRDefault="00DD5ABD" w:rsidP="00DD5ABD">
      <w:pPr>
        <w:pStyle w:val="a4"/>
        <w:rPr>
          <w:sz w:val="28"/>
        </w:rPr>
      </w:pPr>
    </w:p>
    <w:p w:rsidR="00DD5ABD" w:rsidRDefault="00DD5ABD" w:rsidP="00DD5ABD">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DD5ABD" w:rsidRDefault="00DD5ABD" w:rsidP="00DD5ABD">
      <w:pPr>
        <w:pStyle w:val="a6"/>
        <w:rPr>
          <w:sz w:val="28"/>
        </w:rPr>
      </w:pPr>
      <w:r>
        <w:rPr>
          <w:sz w:val="28"/>
        </w:rPr>
        <w:t>при секретаре – помощнике судьи Фазлутдиновой А.А.,</w:t>
      </w:r>
    </w:p>
    <w:p w:rsidR="00DD5ABD" w:rsidRDefault="00DD5ABD" w:rsidP="00DD5ABD">
      <w:pPr>
        <w:pStyle w:val="a6"/>
        <w:rPr>
          <w:sz w:val="28"/>
        </w:rPr>
      </w:pPr>
      <w:r>
        <w:rPr>
          <w:sz w:val="28"/>
        </w:rPr>
        <w:t xml:space="preserve">с участием прокурора прокуратуры Республики Татарстан Золина И.А., </w:t>
      </w:r>
    </w:p>
    <w:p w:rsidR="00DD5ABD" w:rsidRDefault="00DD5ABD" w:rsidP="00DD5ABD">
      <w:pPr>
        <w:pStyle w:val="a4"/>
        <w:ind w:firstLine="720"/>
        <w:rPr>
          <w:sz w:val="28"/>
          <w:szCs w:val="28"/>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акционерного общества «Татэнерго» к Государственному комитету Республики Татарстан по тарифам о признании не действующими в части постановления от 15 декабря 2023 года № 724-80/тэ-2023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Казани, на 2024-2028 годы», постановления от 20 декабря 2024 года  № 730-117/тэ-2024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Казани, установленных постановлением  Государственного комитета Республики Татарстан по тарифам от 15 декабря 2023 года № 724-80/тэ-2023», возложении обязанности принять новый нормативный правовой акт, </w:t>
      </w:r>
    </w:p>
    <w:p w:rsidR="00DD5ABD" w:rsidRDefault="00DD5ABD" w:rsidP="00DD5ABD">
      <w:pPr>
        <w:pStyle w:val="a4"/>
        <w:ind w:firstLine="720"/>
        <w:rPr>
          <w:sz w:val="28"/>
        </w:rPr>
      </w:pPr>
    </w:p>
    <w:p w:rsidR="00DD5ABD" w:rsidRDefault="00DD5ABD" w:rsidP="00DD5ABD">
      <w:pPr>
        <w:pStyle w:val="a4"/>
        <w:jc w:val="center"/>
        <w:rPr>
          <w:sz w:val="28"/>
        </w:rPr>
      </w:pPr>
      <w:r>
        <w:rPr>
          <w:sz w:val="28"/>
        </w:rPr>
        <w:t>УСТАНОВИЛ:</w:t>
      </w:r>
    </w:p>
    <w:p w:rsidR="00DD5ABD" w:rsidRDefault="00DD5ABD" w:rsidP="00DD5ABD">
      <w:pPr>
        <w:pStyle w:val="a4"/>
        <w:ind w:firstLine="720"/>
        <w:rPr>
          <w:sz w:val="28"/>
          <w:szCs w:val="28"/>
        </w:rPr>
      </w:pPr>
    </w:p>
    <w:p w:rsidR="00DD5ABD" w:rsidRDefault="00DD5ABD" w:rsidP="00DD5ABD">
      <w:pPr>
        <w:adjustRightInd w:val="0"/>
        <w:ind w:firstLine="709"/>
        <w:jc w:val="both"/>
        <w:rPr>
          <w:kern w:val="0"/>
          <w:sz w:val="28"/>
          <w:szCs w:val="28"/>
        </w:rPr>
      </w:pPr>
      <w:r>
        <w:rPr>
          <w:kern w:val="0"/>
          <w:sz w:val="28"/>
          <w:szCs w:val="28"/>
        </w:rPr>
        <w:t>Постановлением Г</w:t>
      </w:r>
      <w:r>
        <w:rPr>
          <w:sz w:val="28"/>
          <w:szCs w:val="28"/>
        </w:rPr>
        <w:t xml:space="preserve">осударственного комитета Республики Татарстан по тарифам (далее также Госкомитет, тарифный орган) от 15 декабря 2023 года № 724-80/тэ-2023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Казани, на 2024-2028 годы» установлены долгосрочные тарифы на тепловую энергию, поставляемую акционерным обществом (далее – АО) «Татэнерго» потребителям, другим теплоснабжающим организациям города Казани, на 2024-2028 годы </w:t>
      </w:r>
      <w:r>
        <w:rPr>
          <w:kern w:val="0"/>
          <w:sz w:val="28"/>
          <w:szCs w:val="28"/>
        </w:rPr>
        <w:t xml:space="preserve">с календарной разбивкой согласно приложению 1 </w:t>
      </w:r>
      <w:r>
        <w:rPr>
          <w:sz w:val="28"/>
          <w:szCs w:val="28"/>
        </w:rPr>
        <w:t xml:space="preserve">к этому постановлению, а также долгосрочные параметры регулирования, устанавливаемые на долгосрочный период регулирования для формирования тарифов с </w:t>
      </w:r>
      <w:r>
        <w:rPr>
          <w:sz w:val="28"/>
          <w:szCs w:val="28"/>
        </w:rPr>
        <w:lastRenderedPageBreak/>
        <w:t xml:space="preserve">использованием метода индексации установленных тарифов на 2024 - 2028 годы согласно приложению 2. </w:t>
      </w:r>
    </w:p>
    <w:p w:rsidR="00DD5ABD" w:rsidRDefault="00DD5ABD" w:rsidP="00DD5ABD">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21 декабря 2023 года за № 12280, опубликовано на официальном портале правовой информации Республики Татарстан http://pravo.tatarstan.ru 21 декабря 2023 года.</w:t>
      </w:r>
    </w:p>
    <w:p w:rsidR="00DD5ABD" w:rsidRDefault="00DD5ABD" w:rsidP="00DD5ABD">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15 декабря 2023 года № 724-80/тэ-2023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DD5ABD" w:rsidRDefault="00DD5ABD" w:rsidP="00DD5ABD">
      <w:pPr>
        <w:adjustRightInd w:val="0"/>
        <w:ind w:firstLine="709"/>
        <w:jc w:val="both"/>
        <w:rPr>
          <w:sz w:val="28"/>
          <w:szCs w:val="28"/>
        </w:rPr>
      </w:pPr>
      <w:r>
        <w:rPr>
          <w:sz w:val="28"/>
          <w:szCs w:val="28"/>
        </w:rPr>
        <w:t>в период с 1 января 2024 года по 30 июня 2024 года в размере 1780,50 рубля за Гкал, в период с 1 июля 2024 года по 31 декабря 2024 года - в размере 1972,79 рубля за Гкал;</w:t>
      </w:r>
    </w:p>
    <w:p w:rsidR="00DD5ABD" w:rsidRDefault="00DD5ABD" w:rsidP="00DD5ABD">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DD5ABD" w:rsidRDefault="00DD5ABD" w:rsidP="00DD5ABD">
      <w:pPr>
        <w:adjustRightInd w:val="0"/>
        <w:ind w:firstLine="709"/>
        <w:jc w:val="both"/>
        <w:rPr>
          <w:sz w:val="28"/>
          <w:szCs w:val="28"/>
        </w:rPr>
      </w:pPr>
      <w:r>
        <w:rPr>
          <w:sz w:val="28"/>
          <w:szCs w:val="28"/>
        </w:rPr>
        <w:t xml:space="preserve">в период с 1 января 2024 года по 30 июня 2024 года в размере 2136,60 рубля за Гкал, в период с 1 июля 2024 года по 31 декабря 2024 года - в размере 2367,35 рубля за Гкал (Приложение 1). </w:t>
      </w:r>
    </w:p>
    <w:p w:rsidR="00DD5ABD" w:rsidRDefault="00DD5ABD" w:rsidP="00DD5ABD">
      <w:pPr>
        <w:adjustRightInd w:val="0"/>
        <w:ind w:firstLine="709"/>
        <w:jc w:val="both"/>
        <w:rPr>
          <w:sz w:val="28"/>
          <w:szCs w:val="28"/>
        </w:rPr>
      </w:pPr>
      <w:r>
        <w:rPr>
          <w:sz w:val="28"/>
          <w:szCs w:val="28"/>
        </w:rPr>
        <w:t>Базовый уровень операционных расходов на 2024 год установлен в размере 1 054 618,64 тысячи рублей.</w:t>
      </w:r>
    </w:p>
    <w:p w:rsidR="00DD5ABD" w:rsidRDefault="00DD5ABD" w:rsidP="00DD5ABD">
      <w:pPr>
        <w:adjustRightInd w:val="0"/>
        <w:ind w:firstLine="709"/>
        <w:jc w:val="both"/>
        <w:rPr>
          <w:kern w:val="0"/>
          <w:sz w:val="28"/>
          <w:szCs w:val="28"/>
        </w:rPr>
      </w:pPr>
      <w:r>
        <w:rPr>
          <w:kern w:val="0"/>
          <w:sz w:val="28"/>
          <w:szCs w:val="28"/>
        </w:rPr>
        <w:t xml:space="preserve">Постановлением </w:t>
      </w:r>
      <w:r>
        <w:rPr>
          <w:sz w:val="28"/>
          <w:szCs w:val="28"/>
        </w:rPr>
        <w:t xml:space="preserve">Госкомитета от 20 декабря 2024 года № 730-117/тэ-2024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Казани, установленных постановлением  Государственного комитета Республики Татарстан по тарифам от 15 декабря 2023 года № 724-80/тэ-2023» установлены долгосрочные тарифы на тепловую энергию, поставляемую АО «Татэнерго» потребителям, другим теплоснабжающим организациям города Казани, на 2025 год </w:t>
      </w:r>
      <w:r>
        <w:rPr>
          <w:kern w:val="0"/>
          <w:sz w:val="28"/>
          <w:szCs w:val="28"/>
        </w:rPr>
        <w:t xml:space="preserve">с календарной разбивкой согласно приложению 1 </w:t>
      </w:r>
      <w:r>
        <w:rPr>
          <w:sz w:val="28"/>
          <w:szCs w:val="28"/>
        </w:rPr>
        <w:t xml:space="preserve">к этому постановлению. </w:t>
      </w:r>
    </w:p>
    <w:p w:rsidR="00DD5ABD" w:rsidRDefault="00DD5ABD" w:rsidP="00DD5ABD">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13901, опубликовано на официальном портале правовой информации Республики Татарстан http://pravo.tatarstan.ru 21 декабря 2024 года.</w:t>
      </w:r>
    </w:p>
    <w:p w:rsidR="00DD5ABD" w:rsidRDefault="00DD5ABD" w:rsidP="00DD5ABD">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20 декабря 2024 года № 730-117/тэ-2024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DD5ABD" w:rsidRDefault="00DD5ABD" w:rsidP="00DD5ABD">
      <w:pPr>
        <w:adjustRightInd w:val="0"/>
        <w:ind w:firstLine="709"/>
        <w:jc w:val="both"/>
        <w:rPr>
          <w:sz w:val="28"/>
          <w:szCs w:val="28"/>
        </w:rPr>
      </w:pPr>
      <w:r>
        <w:rPr>
          <w:sz w:val="28"/>
          <w:szCs w:val="28"/>
        </w:rPr>
        <w:t>в период с 1 января 2025 года по 30 июня 2025 года в размере 1972,79 рубля за Гкал, в период с 1 июля 2025 года по 31 декабря 2025 года - в размере 2412,70 рубля за Гкал;</w:t>
      </w:r>
    </w:p>
    <w:p w:rsidR="00DD5ABD" w:rsidRDefault="00DD5ABD" w:rsidP="00DD5ABD">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DD5ABD" w:rsidRDefault="00DD5ABD" w:rsidP="00DD5ABD">
      <w:pPr>
        <w:adjustRightInd w:val="0"/>
        <w:ind w:firstLine="709"/>
        <w:jc w:val="both"/>
        <w:rPr>
          <w:sz w:val="28"/>
          <w:szCs w:val="28"/>
        </w:rPr>
      </w:pPr>
      <w:r>
        <w:rPr>
          <w:sz w:val="28"/>
          <w:szCs w:val="28"/>
        </w:rPr>
        <w:lastRenderedPageBreak/>
        <w:t xml:space="preserve">в период с 1 января 2025 года по 30 июня 2025 года в размере 2367,35 рубля за Гкал, в период с 1 июля 2025 года по 31 декабря 2025 года - в размере 2895,24 рубля за Гкал (Приложение 1). </w:t>
      </w:r>
    </w:p>
    <w:p w:rsidR="00DD5ABD" w:rsidRDefault="00DD5ABD" w:rsidP="00DD5ABD">
      <w:pPr>
        <w:adjustRightInd w:val="0"/>
        <w:ind w:firstLine="709"/>
        <w:jc w:val="both"/>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 xml:space="preserve">с административным исковым заявлением о признании недействующими постановлений Государственного комитета Республики Татарстан по тарифам от 15 декабря 2023 года № 724-80/тэ-2023, от 20 декабря 2024 года № 730-117/тэ-2024. </w:t>
      </w:r>
    </w:p>
    <w:p w:rsidR="00DD5ABD" w:rsidRDefault="00DD5ABD" w:rsidP="00DD5ABD">
      <w:pPr>
        <w:adjustRightInd w:val="0"/>
        <w:ind w:firstLine="709"/>
        <w:jc w:val="both"/>
        <w:rPr>
          <w:sz w:val="28"/>
          <w:szCs w:val="28"/>
        </w:rPr>
      </w:pPr>
      <w:r>
        <w:rPr>
          <w:sz w:val="28"/>
          <w:szCs w:val="28"/>
        </w:rPr>
        <w:t>По мнению административного истца, оспариваемые постановления Государственного комитета Республики Татарстан по тарифам</w:t>
      </w:r>
      <w:r>
        <w:rPr>
          <w:kern w:val="0"/>
          <w:sz w:val="28"/>
          <w:szCs w:val="28"/>
        </w:rPr>
        <w:t xml:space="preserve"> противоречат Федеральному </w:t>
      </w:r>
      <w:hyperlink r:id="rId6" w:history="1">
        <w:r>
          <w:rPr>
            <w:rStyle w:val="a3"/>
            <w:kern w:val="0"/>
            <w:sz w:val="28"/>
            <w:szCs w:val="28"/>
          </w:rPr>
          <w:t>закон</w:t>
        </w:r>
      </w:hyperlink>
      <w:r>
        <w:rPr>
          <w:kern w:val="0"/>
          <w:sz w:val="28"/>
          <w:szCs w:val="28"/>
        </w:rPr>
        <w:t xml:space="preserve">у от 27 июля 2010 года № 190-ФЗ «О теплоснабжении»,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DD5ABD" w:rsidRDefault="00DD5ABD" w:rsidP="00DD5ABD">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DD5ABD" w:rsidRDefault="00DD5ABD" w:rsidP="00DD5ABD">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социального налога; незаконно снижены в НВВ в 2025 году затраты на приобретаемые энергоресурсы с учетом вводов нового оборудования и подключения новых потребителей; необоснованно снижены затраты по договору аренды помещения для персонала, осуществляющего функцию сбыта; неправомерно снижена в 2025 году величина амортизационных отчислений; неверно исключены из расчета корректировки, определяемой с учетом отклонения фактических значений параметров расчета тарифов от значений, учтенных при установлении тарифов, фактический налог на прибыль на величину фактических расходов, относимых на прибыль; необоснованно снижены расходы по сомнительным долгам; неверно учтена в НВВ величина расчетной предпринимательской прибыли в части источников по производству тепловой энергии в комбинированном режиме (Казанская ТЭЦ-1, Казанская ТЭЦ-2); неправомерно определен объем полезного отпуска тепловой энергии потребителям города Казани, не учтен объем потерь тепловой энергии общества с ограниченной ответственностью «Смежная сетевая компания «Интеграция». </w:t>
      </w:r>
    </w:p>
    <w:p w:rsidR="00DD5ABD" w:rsidRDefault="00DD5ABD" w:rsidP="00DD5ABD">
      <w:pPr>
        <w:pStyle w:val="a4"/>
        <w:ind w:firstLine="709"/>
        <w:rPr>
          <w:sz w:val="28"/>
        </w:rPr>
      </w:pPr>
      <w:r>
        <w:rPr>
          <w:sz w:val="28"/>
        </w:rPr>
        <w:t xml:space="preserve">В судебном заседании представители </w:t>
      </w:r>
      <w:r>
        <w:rPr>
          <w:sz w:val="28"/>
          <w:szCs w:val="28"/>
        </w:rPr>
        <w:t>АО «Татэнерго» Борисова Т.Е., Коломенскова М.А., Газизуллина Г.Р.</w:t>
      </w:r>
      <w:r>
        <w:rPr>
          <w:sz w:val="28"/>
        </w:rPr>
        <w:t xml:space="preserve"> административный иск поддержали.</w:t>
      </w:r>
      <w:r>
        <w:rPr>
          <w:sz w:val="28"/>
          <w:szCs w:val="28"/>
        </w:rPr>
        <w:t xml:space="preserve"> </w:t>
      </w:r>
      <w:r>
        <w:rPr>
          <w:sz w:val="28"/>
        </w:rPr>
        <w:t xml:space="preserve">  </w:t>
      </w:r>
    </w:p>
    <w:p w:rsidR="00DD5ABD" w:rsidRDefault="00DD5ABD" w:rsidP="00DD5ABD">
      <w:pPr>
        <w:pStyle w:val="a4"/>
        <w:ind w:firstLine="709"/>
        <w:rPr>
          <w:sz w:val="28"/>
        </w:rPr>
      </w:pPr>
      <w:r>
        <w:rPr>
          <w:sz w:val="28"/>
        </w:rPr>
        <w:lastRenderedPageBreak/>
        <w:t xml:space="preserve">Представители </w:t>
      </w:r>
      <w:r>
        <w:rPr>
          <w:sz w:val="28"/>
          <w:szCs w:val="28"/>
        </w:rPr>
        <w:t xml:space="preserve">Государственного комитета Республики Татарстан по тарифам Царева Н.В., Афлятунова А.И., Насырова А.З. административный иск </w:t>
      </w:r>
      <w:r>
        <w:rPr>
          <w:sz w:val="28"/>
        </w:rPr>
        <w:t>не признали.</w:t>
      </w:r>
    </w:p>
    <w:p w:rsidR="00DD5ABD" w:rsidRDefault="00DD5ABD" w:rsidP="00DD5ABD">
      <w:pPr>
        <w:pStyle w:val="a4"/>
        <w:ind w:firstLine="709"/>
        <w:rPr>
          <w:sz w:val="28"/>
        </w:rPr>
      </w:pPr>
      <w:r>
        <w:rPr>
          <w:sz w:val="28"/>
        </w:rPr>
        <w:t xml:space="preserve">Представители </w:t>
      </w:r>
      <w:r>
        <w:rPr>
          <w:sz w:val="28"/>
          <w:szCs w:val="28"/>
        </w:rPr>
        <w:t xml:space="preserve">общества с ограниченной ответственностью «Смежная сетевая компания «Интеграция» Савченко Н.Н., Галиева Р.Г. заявили, что оставляют разрешение спора на усмотрение суда.  </w:t>
      </w:r>
    </w:p>
    <w:p w:rsidR="00DD5ABD" w:rsidRDefault="00DD5ABD" w:rsidP="00DD5ABD">
      <w:pPr>
        <w:pStyle w:val="a4"/>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Pr>
          <w:kern w:val="0"/>
          <w:sz w:val="28"/>
          <w:szCs w:val="28"/>
        </w:rPr>
        <w:t xml:space="preserve">На основании </w:t>
      </w:r>
      <w:hyperlink r:id="rId7" w:history="1">
        <w:r>
          <w:rPr>
            <w:rStyle w:val="a3"/>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суд находит возможным рассмотрение дела в его отсутствие.</w:t>
      </w:r>
    </w:p>
    <w:p w:rsidR="00DD5ABD" w:rsidRDefault="00DD5ABD" w:rsidP="00DD5ABD">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заинтересованного лица, изучив доказательства, имеющиеся в материалах дела, заслушав заключение прокурора, полагавшего 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DD5ABD" w:rsidRDefault="00DD5ABD" w:rsidP="00DD5ABD">
      <w:pPr>
        <w:adjustRightInd w:val="0"/>
        <w:ind w:firstLine="709"/>
        <w:jc w:val="both"/>
        <w:rPr>
          <w:kern w:val="0"/>
          <w:sz w:val="28"/>
          <w:szCs w:val="28"/>
        </w:rPr>
      </w:pPr>
      <w:r>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8" w:history="1">
        <w:r>
          <w:rPr>
            <w:rStyle w:val="a3"/>
            <w:kern w:val="0"/>
            <w:sz w:val="28"/>
            <w:szCs w:val="28"/>
          </w:rPr>
          <w:t>закон</w:t>
        </w:r>
      </w:hyperlink>
      <w:r>
        <w:rPr>
          <w:kern w:val="0"/>
          <w:sz w:val="28"/>
          <w:szCs w:val="28"/>
        </w:rPr>
        <w:t xml:space="preserve"> от 27 июля 2010 года № 190-ФЗ «О теплоснабжении». </w:t>
      </w:r>
    </w:p>
    <w:p w:rsidR="00DD5ABD" w:rsidRDefault="00DD5ABD" w:rsidP="00DD5ABD">
      <w:pPr>
        <w:adjustRightInd w:val="0"/>
        <w:ind w:firstLine="709"/>
        <w:jc w:val="both"/>
        <w:rPr>
          <w:kern w:val="0"/>
          <w:sz w:val="28"/>
          <w:szCs w:val="28"/>
        </w:rPr>
      </w:pPr>
      <w:r>
        <w:rPr>
          <w:kern w:val="0"/>
          <w:sz w:val="28"/>
          <w:szCs w:val="28"/>
        </w:rPr>
        <w:t xml:space="preserve">Постановлением Правительства Российской Федерации от 22 октября 2012 года № 1075 утверждены </w:t>
      </w:r>
      <w:hyperlink r:id="rId9" w:history="1">
        <w:r>
          <w:rPr>
            <w:rStyle w:val="a3"/>
            <w:kern w:val="0"/>
            <w:sz w:val="28"/>
            <w:szCs w:val="28"/>
          </w:rPr>
          <w:t>Основы</w:t>
        </w:r>
      </w:hyperlink>
      <w:r>
        <w:rPr>
          <w:kern w:val="0"/>
          <w:sz w:val="28"/>
          <w:szCs w:val="28"/>
        </w:rPr>
        <w:t xml:space="preserve"> ценообразования в сфере теплоснабжения (далее - Основы ценообразования), </w:t>
      </w:r>
      <w:hyperlink r:id="rId10" w:history="1">
        <w:r>
          <w:rPr>
            <w:rStyle w:val="a3"/>
            <w:kern w:val="0"/>
            <w:sz w:val="28"/>
            <w:szCs w:val="28"/>
          </w:rPr>
          <w:t>Правила</w:t>
        </w:r>
      </w:hyperlink>
      <w:r>
        <w:rPr>
          <w:kern w:val="0"/>
          <w:sz w:val="28"/>
          <w:szCs w:val="28"/>
        </w:rPr>
        <w:t xml:space="preserve"> регулирования цен (тарифов) в сфере теплоснабжения (далее - Правила регулирования тарифов), которыми установлены основные принципы и методы определения 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1" w:history="1">
        <w:r>
          <w:rPr>
            <w:rStyle w:val="a3"/>
            <w:kern w:val="0"/>
            <w:sz w:val="28"/>
            <w:szCs w:val="28"/>
          </w:rPr>
          <w:t>законом</w:t>
        </w:r>
      </w:hyperlink>
      <w:r>
        <w:rPr>
          <w:kern w:val="0"/>
          <w:sz w:val="28"/>
          <w:szCs w:val="28"/>
        </w:rPr>
        <w:t xml:space="preserve"> от 27 июля 2010 года № 190-ФЗ, а также порядок установления регулируемых цен (тарифов) в сфере теплоснабжения.</w:t>
      </w:r>
    </w:p>
    <w:p w:rsidR="00DD5ABD" w:rsidRDefault="00DD5ABD" w:rsidP="00DD5ABD">
      <w:pPr>
        <w:adjustRightInd w:val="0"/>
        <w:ind w:firstLine="709"/>
        <w:jc w:val="both"/>
        <w:rPr>
          <w:kern w:val="0"/>
          <w:sz w:val="28"/>
          <w:szCs w:val="28"/>
        </w:rPr>
      </w:pPr>
      <w:r>
        <w:rPr>
          <w:kern w:val="0"/>
          <w:sz w:val="28"/>
          <w:szCs w:val="28"/>
        </w:rPr>
        <w:t xml:space="preserve">На основании пункта 4 части 1 статьи 8 Федерального </w:t>
      </w:r>
      <w:hyperlink r:id="rId12" w:history="1">
        <w:r>
          <w:rPr>
            <w:rStyle w:val="a3"/>
            <w:kern w:val="0"/>
            <w:sz w:val="28"/>
            <w:szCs w:val="28"/>
          </w:rPr>
          <w:t>закон</w:t>
        </w:r>
      </w:hyperlink>
      <w:r>
        <w:rPr>
          <w:kern w:val="0"/>
          <w:sz w:val="28"/>
          <w:szCs w:val="28"/>
        </w:rPr>
        <w:t xml:space="preserve">а от 27 июля 2010 года № 190-ФЗ государственному регулированию в сфере </w:t>
      </w:r>
      <w:r>
        <w:rPr>
          <w:kern w:val="0"/>
          <w:sz w:val="28"/>
          <w:szCs w:val="28"/>
        </w:rPr>
        <w:lastRenderedPageBreak/>
        <w:t xml:space="preserve">теплоснабжения подлежат </w:t>
      </w:r>
      <w:r>
        <w:rPr>
          <w:rFonts w:eastAsia="Calibri"/>
          <w:kern w:val="0"/>
          <w:sz w:val="28"/>
          <w:szCs w:val="28"/>
        </w:rPr>
        <w:t>тарифы на тепловую энергию (мощность), поставляемую теплоснабжающими организациями потребителям, другим теплоснабжающим организациям</w:t>
      </w:r>
      <w:r>
        <w:rPr>
          <w:kern w:val="0"/>
          <w:sz w:val="28"/>
          <w:szCs w:val="28"/>
        </w:rPr>
        <w:t>.</w:t>
      </w:r>
    </w:p>
    <w:p w:rsidR="00DD5ABD" w:rsidRDefault="00DD5ABD" w:rsidP="00DD5ABD">
      <w:pPr>
        <w:adjustRightInd w:val="0"/>
        <w:ind w:firstLine="709"/>
        <w:jc w:val="both"/>
        <w:rPr>
          <w:kern w:val="0"/>
          <w:sz w:val="28"/>
          <w:szCs w:val="28"/>
        </w:rPr>
      </w:pPr>
      <w:r>
        <w:rPr>
          <w:kern w:val="0"/>
          <w:sz w:val="28"/>
          <w:szCs w:val="28"/>
        </w:rPr>
        <w:t xml:space="preserve">Пунктом 1 части 3 статьи 7 Федерального </w:t>
      </w:r>
      <w:hyperlink r:id="rId13" w:history="1">
        <w:r>
          <w:rPr>
            <w:rStyle w:val="a3"/>
            <w:kern w:val="0"/>
            <w:sz w:val="28"/>
            <w:szCs w:val="28"/>
          </w:rPr>
          <w:t>закон</w:t>
        </w:r>
      </w:hyperlink>
      <w:r>
        <w:rPr>
          <w:kern w:val="0"/>
          <w:sz w:val="28"/>
          <w:szCs w:val="28"/>
        </w:rPr>
        <w:t xml:space="preserve">а от 27 июля 2010 года № 190-ФЗ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w:t>
      </w:r>
      <w:r>
        <w:rPr>
          <w:rFonts w:eastAsia="Calibri"/>
          <w:kern w:val="0"/>
          <w:sz w:val="28"/>
          <w:szCs w:val="28"/>
        </w:rPr>
        <w:t>тарифов на тепловую энергию (мощность), поставляемую теплоснабжающими организациями потребителям, другим теплоснабжающим организациям</w:t>
      </w:r>
      <w:r>
        <w:rPr>
          <w:kern w:val="0"/>
          <w:sz w:val="28"/>
          <w:szCs w:val="28"/>
        </w:rPr>
        <w:t>.</w:t>
      </w:r>
    </w:p>
    <w:p w:rsidR="00DD5ABD" w:rsidRDefault="00DD5ABD" w:rsidP="00DD5ABD">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DD5ABD" w:rsidRDefault="00DD5ABD" w:rsidP="00DD5ABD">
      <w:pPr>
        <w:adjustRightInd w:val="0"/>
        <w:ind w:firstLine="709"/>
        <w:jc w:val="both"/>
        <w:rPr>
          <w:kern w:val="0"/>
          <w:sz w:val="28"/>
          <w:szCs w:val="28"/>
        </w:rPr>
      </w:pPr>
      <w:r>
        <w:rPr>
          <w:kern w:val="0"/>
          <w:sz w:val="28"/>
          <w:szCs w:val="28"/>
        </w:rPr>
        <w:t xml:space="preserve">Таким образом, оспариваемые постановления приняты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данных нормативных правовых актов, введения их в действие, в том числе правил опубликования.</w:t>
      </w:r>
    </w:p>
    <w:p w:rsidR="00DD5ABD" w:rsidRDefault="00DD5ABD" w:rsidP="00DD5ABD">
      <w:pPr>
        <w:adjustRightInd w:val="0"/>
        <w:ind w:firstLine="709"/>
        <w:jc w:val="both"/>
        <w:rPr>
          <w:kern w:val="0"/>
          <w:sz w:val="28"/>
          <w:szCs w:val="28"/>
        </w:rPr>
      </w:pPr>
      <w:r>
        <w:rPr>
          <w:kern w:val="0"/>
          <w:sz w:val="28"/>
          <w:szCs w:val="28"/>
        </w:rPr>
        <w:t xml:space="preserve">Согласно </w:t>
      </w:r>
      <w:hyperlink r:id="rId14" w:history="1">
        <w:r>
          <w:rPr>
            <w:rStyle w:val="a3"/>
            <w:kern w:val="0"/>
            <w:sz w:val="28"/>
            <w:szCs w:val="28"/>
          </w:rPr>
          <w:t>пунктам 12</w:t>
        </w:r>
      </w:hyperlink>
      <w:r>
        <w:rPr>
          <w:kern w:val="0"/>
          <w:sz w:val="28"/>
          <w:szCs w:val="28"/>
        </w:rPr>
        <w:t xml:space="preserve"> и </w:t>
      </w:r>
      <w:hyperlink r:id="rId15" w:history="1">
        <w:r>
          <w:rPr>
            <w:rStyle w:val="a3"/>
            <w:kern w:val="0"/>
            <w:sz w:val="28"/>
            <w:szCs w:val="28"/>
          </w:rPr>
          <w:t>13</w:t>
        </w:r>
      </w:hyperlink>
      <w:r>
        <w:rPr>
          <w:kern w:val="0"/>
          <w:sz w:val="28"/>
          <w:szCs w:val="28"/>
        </w:rPr>
        <w:t xml:space="preserve"> Правил регулирования установление тарифов производится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6" w:history="1">
        <w:r>
          <w:rPr>
            <w:rStyle w:val="a3"/>
            <w:kern w:val="0"/>
            <w:sz w:val="28"/>
            <w:szCs w:val="28"/>
          </w:rPr>
          <w:t>пунктами 15</w:t>
        </w:r>
      </w:hyperlink>
      <w:r>
        <w:rPr>
          <w:kern w:val="0"/>
          <w:sz w:val="28"/>
          <w:szCs w:val="28"/>
        </w:rPr>
        <w:t xml:space="preserve"> и </w:t>
      </w:r>
      <w:hyperlink r:id="rId17" w:history="1">
        <w:r>
          <w:rPr>
            <w:rStyle w:val="a3"/>
            <w:kern w:val="0"/>
            <w:sz w:val="28"/>
            <w:szCs w:val="28"/>
          </w:rPr>
          <w:t>16</w:t>
        </w:r>
      </w:hyperlink>
      <w:r>
        <w:rPr>
          <w:kern w:val="0"/>
          <w:sz w:val="28"/>
          <w:szCs w:val="28"/>
        </w:rPr>
        <w:t xml:space="preserve"> данных Правил.</w:t>
      </w:r>
    </w:p>
    <w:p w:rsidR="00DD5ABD" w:rsidRDefault="00DD5ABD" w:rsidP="00DD5ABD">
      <w:pPr>
        <w:adjustRightInd w:val="0"/>
        <w:ind w:firstLine="709"/>
        <w:jc w:val="both"/>
        <w:rPr>
          <w:kern w:val="0"/>
          <w:sz w:val="28"/>
          <w:szCs w:val="28"/>
        </w:rPr>
      </w:pPr>
      <w:r>
        <w:rPr>
          <w:kern w:val="0"/>
          <w:sz w:val="28"/>
          <w:szCs w:val="28"/>
        </w:rPr>
        <w:t xml:space="preserve">Из материалов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об открытии дела об установлении </w:t>
      </w:r>
      <w:r>
        <w:rPr>
          <w:sz w:val="28"/>
          <w:szCs w:val="28"/>
        </w:rPr>
        <w:t>тарифов на тепловую энергию, поставляемую АО «Татэнерго» потребителям, другим теплоснабжающим организациям города Казани, на 2024-2028 годы</w:t>
      </w:r>
      <w:r>
        <w:rPr>
          <w:kern w:val="0"/>
          <w:sz w:val="28"/>
          <w:szCs w:val="28"/>
        </w:rPr>
        <w:t xml:space="preserve">, приложив пакет 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индексации установленных тарифов.</w:t>
      </w:r>
    </w:p>
    <w:p w:rsidR="00DD5ABD" w:rsidRDefault="00DD5ABD" w:rsidP="00DD5ABD">
      <w:pPr>
        <w:ind w:firstLine="709"/>
        <w:jc w:val="both"/>
        <w:rPr>
          <w:sz w:val="28"/>
          <w:szCs w:val="28"/>
        </w:rPr>
      </w:pPr>
      <w:r>
        <w:rPr>
          <w:sz w:val="28"/>
          <w:szCs w:val="28"/>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об установлении тарифов на тепловую энергию, поставляемую АО «Татэнерго» потребителям, другим теплоснабжающим организациям города Казани, на 2024-2028 годы.</w:t>
      </w:r>
    </w:p>
    <w:p w:rsidR="00DD5ABD" w:rsidRDefault="00DD5ABD" w:rsidP="00DD5ABD">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w:t>
      </w:r>
      <w:r>
        <w:rPr>
          <w:kern w:val="0"/>
          <w:sz w:val="28"/>
          <w:szCs w:val="28"/>
        </w:rPr>
        <w:lastRenderedPageBreak/>
        <w:t xml:space="preserve">установлении тарифов </w:t>
      </w:r>
      <w:r>
        <w:rPr>
          <w:sz w:val="28"/>
          <w:szCs w:val="28"/>
        </w:rPr>
        <w:t>на тепловую энергию, поставляемую АО «Татэнерго» потребителям, другим теплоснабжающим организациям города Казани, на 2024-2028 годы</w:t>
      </w:r>
      <w:r>
        <w:rPr>
          <w:kern w:val="0"/>
          <w:sz w:val="28"/>
          <w:szCs w:val="28"/>
        </w:rPr>
        <w:t>, принят оспариваемый нормативный правовой акт.</w:t>
      </w:r>
      <w:r>
        <w:rPr>
          <w:sz w:val="28"/>
          <w:szCs w:val="28"/>
        </w:rPr>
        <w:t xml:space="preserve">     </w:t>
      </w:r>
      <w:r>
        <w:rPr>
          <w:kern w:val="0"/>
          <w:sz w:val="28"/>
          <w:szCs w:val="28"/>
        </w:rPr>
        <w:t xml:space="preserve">  </w:t>
      </w:r>
    </w:p>
    <w:p w:rsidR="00DD5ABD" w:rsidRDefault="00DD5ABD" w:rsidP="00DD5ABD">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индексации на тепловую энергию на 2025 год, приложив пакет обосновывающих материалов. </w:t>
      </w:r>
    </w:p>
    <w:p w:rsidR="00DD5ABD" w:rsidRDefault="00DD5ABD" w:rsidP="00DD5ABD">
      <w:pPr>
        <w:adjustRightInd w:val="0"/>
        <w:ind w:firstLine="709"/>
        <w:jc w:val="both"/>
        <w:rPr>
          <w:kern w:val="0"/>
          <w:sz w:val="28"/>
          <w:szCs w:val="28"/>
        </w:rPr>
      </w:pPr>
      <w:r>
        <w:rPr>
          <w:kern w:val="0"/>
          <w:sz w:val="28"/>
          <w:szCs w:val="28"/>
        </w:rPr>
        <w:t>Приказом Госкомитета от 14 мая 2024 года № Пр-266/2024 открыто тарифное дело № 20-47/тэ-2024/к-2025 о корректировке тарифов на 2025 год. В отношении административного истца применен метод индексации установленных тарифов.</w:t>
      </w:r>
    </w:p>
    <w:p w:rsidR="00DD5ABD" w:rsidRDefault="00DD5ABD" w:rsidP="00DD5ABD">
      <w:pPr>
        <w:adjustRightInd w:val="0"/>
        <w:ind w:firstLine="709"/>
        <w:jc w:val="both"/>
        <w:rPr>
          <w:kern w:val="0"/>
          <w:sz w:val="28"/>
          <w:szCs w:val="28"/>
        </w:rPr>
      </w:pPr>
      <w:r>
        <w:rPr>
          <w:kern w:val="0"/>
          <w:sz w:val="28"/>
          <w:szCs w:val="28"/>
        </w:rPr>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долгосрочных тарифов на тепловую энергию, поставляемую АО «Татэнерго» потребителям, другим теплоснабжающим организациям города Казани, </w:t>
      </w:r>
      <w:r>
        <w:rPr>
          <w:kern w:val="0"/>
          <w:sz w:val="28"/>
          <w:szCs w:val="28"/>
        </w:rPr>
        <w:t xml:space="preserve"> административным ответчиком принято оспариваемое постановление </w:t>
      </w:r>
      <w:r>
        <w:rPr>
          <w:sz w:val="28"/>
          <w:szCs w:val="28"/>
        </w:rPr>
        <w:t>от 20 декабря 2024 года № 730-117/тэ-2024</w:t>
      </w:r>
      <w:r>
        <w:rPr>
          <w:kern w:val="0"/>
          <w:sz w:val="28"/>
          <w:szCs w:val="28"/>
        </w:rPr>
        <w:t>.</w:t>
      </w:r>
    </w:p>
    <w:p w:rsidR="00DD5ABD" w:rsidRDefault="00DD5ABD" w:rsidP="00DD5ABD">
      <w:pPr>
        <w:adjustRightInd w:val="0"/>
        <w:ind w:firstLine="709"/>
        <w:jc w:val="both"/>
        <w:rPr>
          <w:sz w:val="28"/>
          <w:szCs w:val="28"/>
        </w:rPr>
      </w:pPr>
      <w:r>
        <w:rPr>
          <w:kern w:val="0"/>
          <w:sz w:val="28"/>
          <w:szCs w:val="28"/>
        </w:rPr>
        <w:t xml:space="preserve">Обращаясь к доводам </w:t>
      </w:r>
      <w:r>
        <w:rPr>
          <w:sz w:val="28"/>
          <w:szCs w:val="28"/>
        </w:rPr>
        <w:t xml:space="preserve">АО «Татэнерго» </w:t>
      </w:r>
      <w:r>
        <w:rPr>
          <w:kern w:val="0"/>
          <w:sz w:val="28"/>
          <w:szCs w:val="28"/>
        </w:rPr>
        <w:t>об экономической необоснованности установленных тарифов</w:t>
      </w:r>
      <w:r>
        <w:rPr>
          <w:sz w:val="28"/>
          <w:szCs w:val="28"/>
        </w:rPr>
        <w:t xml:space="preserve"> 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суд приходит к следующему. </w:t>
      </w:r>
    </w:p>
    <w:p w:rsidR="00DD5ABD" w:rsidRDefault="00DD5ABD" w:rsidP="00DD5ABD">
      <w:pPr>
        <w:pStyle w:val="11"/>
        <w:shd w:val="clear" w:color="auto" w:fill="auto"/>
        <w:ind w:firstLine="709"/>
        <w:jc w:val="both"/>
        <w:rPr>
          <w:rFonts w:ascii="Times New Roman" w:hAnsi="Times New Roman"/>
          <w:sz w:val="28"/>
          <w:szCs w:val="28"/>
        </w:rPr>
      </w:pPr>
      <w:r>
        <w:rPr>
          <w:rFonts w:ascii="Times New Roman" w:hAnsi="Times New Roman"/>
          <w:color w:val="000000"/>
          <w:sz w:val="28"/>
          <w:szCs w:val="28"/>
          <w:lang w:bidi="ru-RU"/>
        </w:rPr>
        <w:t>В соответствии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экономически обоснованный объем финансовых средств, необходимый регулируемой организации для осуществления</w:t>
      </w:r>
      <w:r>
        <w:rPr>
          <w:rFonts w:ascii="Times New Roman" w:hAnsi="Times New Roman"/>
        </w:rPr>
        <w:t xml:space="preserve"> </w:t>
      </w:r>
      <w:r>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Pr>
          <w:rFonts w:ascii="Times New Roman" w:hAnsi="Times New Roman"/>
          <w:sz w:val="28"/>
          <w:szCs w:val="28"/>
          <w:lang w:bidi="ru-RU"/>
        </w:rPr>
        <w:t>ценообразования).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В силу пункта 71</w:t>
      </w:r>
      <w:r>
        <w:rPr>
          <w:kern w:val="0"/>
          <w:sz w:val="28"/>
          <w:szCs w:val="28"/>
        </w:rPr>
        <w:t xml:space="preserve"> Основ ценообразования</w:t>
      </w:r>
      <w:r>
        <w:rPr>
          <w:rFonts w:eastAsia="Calibri"/>
          <w:kern w:val="0"/>
          <w:sz w:val="28"/>
          <w:szCs w:val="28"/>
        </w:rPr>
        <w:t xml:space="preserve">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18" w:history="1">
        <w:r>
          <w:rPr>
            <w:rStyle w:val="a3"/>
            <w:rFonts w:eastAsia="Calibri"/>
            <w:kern w:val="0"/>
            <w:sz w:val="28"/>
            <w:szCs w:val="28"/>
          </w:rPr>
          <w:t>пунктом 43</w:t>
        </w:r>
      </w:hyperlink>
      <w:r>
        <w:rPr>
          <w:rFonts w:eastAsia="Calibri"/>
          <w:kern w:val="0"/>
          <w:sz w:val="28"/>
          <w:szCs w:val="28"/>
        </w:rPr>
        <w:t xml:space="preserve"> данного документа, и нормативную прибыль регулируемой организации, а также расчетную предпринимательскую прибыль регулируемой организации.</w:t>
      </w:r>
    </w:p>
    <w:p w:rsidR="00DD5ABD" w:rsidRDefault="00DD5ABD" w:rsidP="00DD5ABD">
      <w:pPr>
        <w:adjustRightInd w:val="0"/>
        <w:ind w:firstLine="709"/>
        <w:jc w:val="both"/>
        <w:rPr>
          <w:rFonts w:eastAsia="Calibri"/>
          <w:kern w:val="0"/>
          <w:sz w:val="28"/>
          <w:szCs w:val="28"/>
        </w:rPr>
      </w:pPr>
      <w:r>
        <w:rPr>
          <w:kern w:val="0"/>
          <w:sz w:val="28"/>
          <w:szCs w:val="28"/>
        </w:rPr>
        <w:t>В соответствии с пунктами 73, 57, подпунктом «в» пункта 58 Основ ценообразования в</w:t>
      </w:r>
      <w:r>
        <w:rPr>
          <w:rFonts w:eastAsia="Calibri"/>
          <w:kern w:val="0"/>
          <w:sz w:val="28"/>
          <w:szCs w:val="28"/>
        </w:rPr>
        <w:t>еличина текущих расходов регулируемой организации включает в себя операционные расходы, состоящие, помимо прочих, из расходов на оплату труда.</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w:t>
      </w:r>
      <w:r>
        <w:rPr>
          <w:rFonts w:eastAsia="Calibri"/>
          <w:kern w:val="0"/>
          <w:sz w:val="28"/>
          <w:szCs w:val="28"/>
        </w:rPr>
        <w:lastRenderedPageBreak/>
        <w:t>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Вместе с тем, не оспаривая численность основного производственного персонала и административно-управленческого персонала, занятых в регулируемой деятельности,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Однако при обращении в Единую межведомственную информационно – статистическую систему (ЕМИСС, </w:t>
      </w:r>
      <w:r>
        <w:rPr>
          <w:rFonts w:eastAsia="Calibri"/>
          <w:kern w:val="0"/>
          <w:sz w:val="28"/>
          <w:szCs w:val="28"/>
          <w:lang w:val="en-US"/>
        </w:rPr>
        <w:t>http</w:t>
      </w:r>
      <w:r>
        <w:rPr>
          <w:rFonts w:eastAsia="Calibri"/>
          <w:kern w:val="0"/>
          <w:sz w:val="28"/>
          <w:szCs w:val="28"/>
        </w:rPr>
        <w:t>:</w:t>
      </w:r>
      <w:r>
        <w:rPr>
          <w:rFonts w:eastAsia="Calibri"/>
          <w:kern w:val="0"/>
          <w:sz w:val="28"/>
          <w:szCs w:val="28"/>
          <w:lang w:val="en-US"/>
        </w:rPr>
        <w:t>fedstat</w:t>
      </w:r>
      <w:r>
        <w:rPr>
          <w:rFonts w:eastAsia="Calibri"/>
          <w:kern w:val="0"/>
          <w:sz w:val="28"/>
          <w:szCs w:val="28"/>
        </w:rPr>
        <w:t>.</w:t>
      </w:r>
      <w:r>
        <w:rPr>
          <w:rFonts w:eastAsia="Calibri"/>
          <w:kern w:val="0"/>
          <w:sz w:val="28"/>
          <w:szCs w:val="28"/>
          <w:lang w:val="en-US"/>
        </w:rPr>
        <w:t>ru</w:t>
      </w:r>
      <w:r>
        <w:rPr>
          <w:rFonts w:eastAsia="Calibri"/>
          <w:kern w:val="0"/>
          <w:sz w:val="28"/>
          <w:szCs w:val="28"/>
        </w:rPr>
        <w:t xml:space="preserve"> / Ведомства / Федеральная служба государственной статистики / 1.30 Рынок труда / 1.30.1 Численность и начисленная заработная плата работников организаций / Средняя номинальная начисленная заработная плата работников организаций (без субъектов малого предпринимательства) с 2017 года) установлено, что размер среднемесячной заработной платы работников организаций по виду экономической деятельности «Производство, передача и распределение пара </w:t>
      </w:r>
      <w:r>
        <w:rPr>
          <w:rFonts w:eastAsia="Calibri"/>
          <w:kern w:val="0"/>
          <w:sz w:val="28"/>
          <w:szCs w:val="28"/>
        </w:rPr>
        <w:lastRenderedPageBreak/>
        <w:t>и горячей воды; кондиционирование воздуха» в муниципальных образованиях Республики Татарстан за январь - декабрь 2022 года составляет 54 582,9 рубля.</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Таким образом, органом регулирования, вопреки положениям статьи 62 Кодекса административного судопроизводства Российской Федерации, не представлено доказательств о принятых им фактических показателях за 2022 год о размере среднемесячной заработной платы в размере 57 591,17 рубля. При этом суд отмечает, что Федеральная служба государственной статистики не подтверждает указанные показатели.   </w:t>
      </w:r>
    </w:p>
    <w:p w:rsidR="00DD5ABD" w:rsidRDefault="00DD5ABD" w:rsidP="00DD5ABD">
      <w:pPr>
        <w:adjustRightInd w:val="0"/>
        <w:ind w:firstLine="709"/>
        <w:jc w:val="both"/>
        <w:rPr>
          <w:rFonts w:eastAsia="Calibri"/>
          <w:kern w:val="0"/>
          <w:sz w:val="28"/>
          <w:szCs w:val="28"/>
        </w:rPr>
      </w:pPr>
      <w:r>
        <w:rPr>
          <w:rFonts w:eastAsia="Calibri"/>
          <w:kern w:val="0"/>
          <w:sz w:val="28"/>
          <w:szCs w:val="28"/>
        </w:rPr>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Pr>
          <w:kern w:val="0"/>
          <w:sz w:val="28"/>
          <w:szCs w:val="28"/>
        </w:rPr>
        <w:t xml:space="preserve"> Основ ценообразования)</w:t>
      </w:r>
      <w:r>
        <w:rPr>
          <w:rFonts w:eastAsia="Calibri"/>
          <w:kern w:val="0"/>
          <w:sz w:val="28"/>
          <w:szCs w:val="28"/>
        </w:rPr>
        <w:t>.</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предложению об установлении цен (тарифов) на 2025 год, представленному в соответствии с </w:t>
      </w:r>
      <w:hyperlink r:id="rId19" w:history="1">
        <w:r>
          <w:rPr>
            <w:rStyle w:val="a3"/>
            <w:rFonts w:eastAsia="Calibri"/>
            <w:kern w:val="0"/>
            <w:sz w:val="28"/>
            <w:szCs w:val="28"/>
          </w:rPr>
          <w:t>Правилами</w:t>
        </w:r>
      </w:hyperlink>
      <w:r>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(пункт 59 (1) Основ ценообразования).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DD5ABD" w:rsidRDefault="00DD5ABD" w:rsidP="00DD5ABD">
      <w:pPr>
        <w:adjustRightInd w:val="0"/>
        <w:ind w:firstLine="709"/>
        <w:jc w:val="both"/>
        <w:rPr>
          <w:kern w:val="0"/>
          <w:sz w:val="28"/>
          <w:szCs w:val="28"/>
        </w:rPr>
      </w:pPr>
      <w:r>
        <w:rPr>
          <w:kern w:val="0"/>
          <w:sz w:val="28"/>
          <w:szCs w:val="28"/>
        </w:rPr>
        <w:t>Таким образом, в связи с неверным расчетом размера расходов на оплату труда</w:t>
      </w:r>
      <w:r>
        <w:rPr>
          <w:rFonts w:eastAsia="Calibri"/>
          <w:kern w:val="0"/>
          <w:sz w:val="28"/>
          <w:szCs w:val="28"/>
        </w:rPr>
        <w:t xml:space="preserve"> 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корректировке оспариваемых тарифов на 2025 год. </w:t>
      </w:r>
    </w:p>
    <w:p w:rsidR="00DD5ABD" w:rsidRDefault="00DD5ABD" w:rsidP="00DD5ABD">
      <w:pPr>
        <w:adjustRightInd w:val="0"/>
        <w:ind w:firstLine="709"/>
        <w:jc w:val="both"/>
        <w:rPr>
          <w:rFonts w:eastAsia="Calibri"/>
          <w:kern w:val="0"/>
          <w:sz w:val="28"/>
          <w:szCs w:val="28"/>
        </w:rPr>
      </w:pPr>
      <w:r>
        <w:rPr>
          <w:rFonts w:eastAsia="Calibri"/>
          <w:kern w:val="0"/>
          <w:sz w:val="28"/>
          <w:szCs w:val="28"/>
        </w:rPr>
        <w:t>В соответствии с пунктом 27 Методических указаний расходы на приобретение энергетических ресурсов (за исключением топлива), холодной воды и теплоносителя в i-м расчетном периоде регулирования, РР</w:t>
      </w:r>
      <w:r>
        <w:rPr>
          <w:rFonts w:eastAsia="Calibri"/>
          <w:kern w:val="0"/>
          <w:sz w:val="28"/>
          <w:szCs w:val="28"/>
          <w:vertAlign w:val="subscript"/>
        </w:rPr>
        <w:t>i</w:t>
      </w:r>
      <w:r>
        <w:rPr>
          <w:rFonts w:eastAsia="Calibri"/>
          <w:kern w:val="0"/>
          <w:sz w:val="28"/>
          <w:szCs w:val="28"/>
        </w:rPr>
        <w:t>, рассчитываются по формуле:</w:t>
      </w:r>
    </w:p>
    <w:p w:rsidR="00DD5ABD" w:rsidRDefault="00DD5ABD" w:rsidP="00DD5ABD">
      <w:pPr>
        <w:adjustRightInd w:val="0"/>
        <w:ind w:firstLine="540"/>
        <w:jc w:val="both"/>
        <w:outlineLvl w:val="0"/>
        <w:rPr>
          <w:rFonts w:eastAsia="Calibri"/>
          <w:kern w:val="0"/>
          <w:sz w:val="28"/>
          <w:szCs w:val="28"/>
        </w:rPr>
      </w:pPr>
    </w:p>
    <w:p w:rsidR="00DD5ABD" w:rsidRDefault="00DD5ABD" w:rsidP="00DD5ABD">
      <w:pPr>
        <w:adjustRightInd w:val="0"/>
        <w:jc w:val="center"/>
        <w:rPr>
          <w:rFonts w:eastAsia="Calibri"/>
          <w:kern w:val="0"/>
          <w:sz w:val="28"/>
          <w:szCs w:val="28"/>
        </w:rPr>
      </w:pPr>
      <w:r>
        <w:rPr>
          <w:rFonts w:eastAsia="Calibri"/>
          <w:noProof/>
          <w:kern w:val="0"/>
          <w:position w:val="-24"/>
          <w:sz w:val="28"/>
          <w:szCs w:val="28"/>
        </w:rPr>
        <w:drawing>
          <wp:inline distT="0" distB="0" distL="0" distR="0">
            <wp:extent cx="1886585" cy="482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6585" cy="482600"/>
                    </a:xfrm>
                    <a:prstGeom prst="rect">
                      <a:avLst/>
                    </a:prstGeom>
                    <a:noFill/>
                    <a:ln>
                      <a:noFill/>
                    </a:ln>
                  </pic:spPr>
                </pic:pic>
              </a:graphicData>
            </a:graphic>
          </wp:inline>
        </w:drawing>
      </w:r>
      <w:r>
        <w:rPr>
          <w:rFonts w:eastAsia="Calibri"/>
          <w:kern w:val="0"/>
          <w:sz w:val="28"/>
          <w:szCs w:val="28"/>
        </w:rPr>
        <w:t>, где:</w:t>
      </w:r>
    </w:p>
    <w:p w:rsidR="00DD5ABD" w:rsidRDefault="00DD5ABD" w:rsidP="00DD5ABD">
      <w:pPr>
        <w:adjustRightInd w:val="0"/>
        <w:ind w:firstLine="709"/>
        <w:jc w:val="both"/>
        <w:rPr>
          <w:rFonts w:eastAsia="Calibri"/>
          <w:kern w:val="0"/>
          <w:sz w:val="28"/>
          <w:szCs w:val="28"/>
        </w:rPr>
      </w:pPr>
      <w:r>
        <w:rPr>
          <w:rFonts w:eastAsia="Calibri"/>
          <w:kern w:val="0"/>
          <w:sz w:val="28"/>
          <w:szCs w:val="28"/>
        </w:rPr>
        <w:t>V</w:t>
      </w:r>
      <w:r>
        <w:rPr>
          <w:rFonts w:eastAsia="Calibri"/>
          <w:kern w:val="0"/>
          <w:sz w:val="28"/>
          <w:szCs w:val="28"/>
          <w:vertAlign w:val="subscript"/>
        </w:rPr>
        <w:t>i,z</w:t>
      </w:r>
      <w:r>
        <w:rPr>
          <w:rFonts w:eastAsia="Calibri"/>
          <w:kern w:val="0"/>
          <w:sz w:val="28"/>
          <w:szCs w:val="28"/>
        </w:rPr>
        <w:t xml:space="preserve"> - объем потребления z-го энергетического ресурса, холодной воды, теплоносителя в i-м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lastRenderedPageBreak/>
        <w:t>ЦР</w:t>
      </w:r>
      <w:r>
        <w:rPr>
          <w:rFonts w:eastAsia="Calibri"/>
          <w:kern w:val="0"/>
          <w:sz w:val="28"/>
          <w:szCs w:val="28"/>
          <w:vertAlign w:val="subscript"/>
        </w:rPr>
        <w:t>i,z</w:t>
      </w:r>
      <w:r>
        <w:rPr>
          <w:rFonts w:eastAsia="Calibri"/>
          <w:kern w:val="0"/>
          <w:sz w:val="28"/>
          <w:szCs w:val="28"/>
        </w:rPr>
        <w:t xml:space="preserve"> - плановая (расчетная) стоимость покупки единицы z-го энергетического ресурса, холодной воды, теплоносителя в i-м расчетном периоде регулирования.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Расходы на электроэнергию и тепловую энергию заявлены АО «Татэнерго» в сумме 98 619,25 тысячи рублей, приняты Госкомитетом в размере 78 512,78 тысячи рублей.</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При определении затрат по данной статье расходов органом регулирования объемы приобретаемых энергетических ресурсов приняты на уровне утвержденных объемов 2024 года, что соответствует фактическому объему 2023 года.  </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Вместе с тем административным ответчиком объем полезного отпуска тепловой энергии потребителям города Казани на 2025 год был принят на уровне 5 228,73 тысячи Гкал, то есть с ростом от уровня факта 2023 года на 6,5% и 2,3% от уровня, заявленного административным истцом на 2025 год. Однако при увеличении полезного отпуска тепловой энергии не произошло соразмерное увеличение расходов на энергетические ресурсы, необходимые для достижения данного отпуска, на что справедливо указывает регулируемая организация. </w:t>
      </w:r>
    </w:p>
    <w:p w:rsidR="00DD5ABD" w:rsidRDefault="00DD5ABD" w:rsidP="00DD5ABD">
      <w:pPr>
        <w:adjustRightInd w:val="0"/>
        <w:ind w:firstLine="709"/>
        <w:jc w:val="both"/>
        <w:rPr>
          <w:rFonts w:eastAsia="Calibri"/>
          <w:kern w:val="0"/>
          <w:sz w:val="28"/>
          <w:szCs w:val="28"/>
        </w:rPr>
      </w:pPr>
      <w:r>
        <w:rPr>
          <w:rFonts w:eastAsia="Calibri"/>
          <w:kern w:val="0"/>
          <w:sz w:val="28"/>
          <w:szCs w:val="28"/>
        </w:rPr>
        <w:t>Согласно пункту 45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АО «Татэнерго» затраты </w:t>
      </w:r>
      <w:r>
        <w:rPr>
          <w:sz w:val="28"/>
          <w:szCs w:val="28"/>
        </w:rPr>
        <w:t>по договору аренды помещений для персонала, осуществляющего функцию сбыта, заявлены в размере 12 426,73 тысячи рублей, при этом площадь арендованного помещения указана в размере 1169,2 квадратного метра.</w:t>
      </w:r>
    </w:p>
    <w:p w:rsidR="00DD5ABD" w:rsidRDefault="00DD5ABD" w:rsidP="00DD5ABD">
      <w:pPr>
        <w:adjustRightInd w:val="0"/>
        <w:ind w:firstLine="709"/>
        <w:jc w:val="both"/>
        <w:rPr>
          <w:kern w:val="0"/>
          <w:sz w:val="28"/>
          <w:szCs w:val="28"/>
        </w:rPr>
      </w:pPr>
      <w:r>
        <w:rPr>
          <w:kern w:val="0"/>
          <w:sz w:val="28"/>
          <w:szCs w:val="28"/>
        </w:rPr>
        <w:t>Определяя размер экономически обоснованного уровня арендной платы, регулятор, не обнаружив расчета арендной платы по договору аренды нежилых помещений с индивидуальным предпринимателем Скрипилиным А.Ю., установил данные расходы расчетным методом, исходя из среднего значения нормы площади офисного помещения на одного сотрудника в соответствии с пунктом 5.2 СанПиН 2.2.3670-20 в размере 6 квадратных метров, 81 сотрудника</w:t>
      </w:r>
      <w:r>
        <w:rPr>
          <w:sz w:val="28"/>
          <w:szCs w:val="28"/>
        </w:rPr>
        <w:t>, осуществляющего функцию сбыта в спорном помещении, средней стоимости аренды в городе Казани 1000 рублей за квадратный метр</w:t>
      </w:r>
      <w:r>
        <w:rPr>
          <w:kern w:val="0"/>
          <w:sz w:val="28"/>
          <w:szCs w:val="28"/>
        </w:rPr>
        <w:t xml:space="preserve">. </w:t>
      </w:r>
    </w:p>
    <w:p w:rsidR="00DD5ABD" w:rsidRDefault="00DD5ABD" w:rsidP="00DD5ABD">
      <w:pPr>
        <w:adjustRightInd w:val="0"/>
        <w:ind w:firstLine="709"/>
        <w:jc w:val="both"/>
        <w:rPr>
          <w:kern w:val="0"/>
          <w:sz w:val="28"/>
          <w:szCs w:val="28"/>
        </w:rPr>
      </w:pPr>
      <w:r>
        <w:rPr>
          <w:kern w:val="0"/>
          <w:sz w:val="28"/>
          <w:szCs w:val="28"/>
        </w:rPr>
        <w:t xml:space="preserve">Таким образом, причинами отказа в учете аренды по данному объекту Госкомитетом указаны: превышение площади помещения санитарным нормам исходя из числа сотрудников общества, отсутствие расчета арендной платы.  При этом органом регулирования не истребовался такой расчет. Не дана оценка доводам АО «Татэнерго» о составе арендованного помещения, из площади которого только 734,7 квадратного метра относится к офисам. </w:t>
      </w:r>
    </w:p>
    <w:p w:rsidR="00DD5ABD" w:rsidRDefault="00DD5ABD" w:rsidP="00DD5ABD">
      <w:pPr>
        <w:adjustRightInd w:val="0"/>
        <w:ind w:firstLine="709"/>
        <w:jc w:val="both"/>
        <w:rPr>
          <w:rFonts w:eastAsia="Calibri"/>
          <w:kern w:val="0"/>
          <w:sz w:val="28"/>
          <w:szCs w:val="28"/>
        </w:rPr>
      </w:pPr>
      <w:r>
        <w:rPr>
          <w:kern w:val="0"/>
          <w:sz w:val="28"/>
          <w:szCs w:val="28"/>
        </w:rPr>
        <w:lastRenderedPageBreak/>
        <w:t>Согласно пункту 73 Основ ценообразования в</w:t>
      </w:r>
      <w:r>
        <w:rPr>
          <w:rFonts w:eastAsia="Calibri"/>
          <w:kern w:val="0"/>
          <w:sz w:val="28"/>
          <w:szCs w:val="28"/>
        </w:rPr>
        <w:t xml:space="preserve">еличина неподконтрольных расходов определяется в соответствии с </w:t>
      </w:r>
      <w:hyperlink r:id="rId21" w:history="1">
        <w:r>
          <w:rPr>
            <w:rStyle w:val="a3"/>
            <w:rFonts w:eastAsia="Calibri"/>
            <w:kern w:val="0"/>
            <w:sz w:val="28"/>
            <w:szCs w:val="28"/>
          </w:rPr>
          <w:t>пунктом 62</w:t>
        </w:r>
      </w:hyperlink>
      <w:r>
        <w:rPr>
          <w:rFonts w:eastAsia="Calibri"/>
          <w:kern w:val="0"/>
          <w:sz w:val="28"/>
          <w:szCs w:val="28"/>
        </w:rPr>
        <w:t xml:space="preserve"> настоящего документа и включает, помимо прочих, величину амортизации основных средств.</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2" w:history="1">
        <w:r>
          <w:rPr>
            <w:rStyle w:val="a3"/>
            <w:rFonts w:eastAsia="Calibri"/>
            <w:kern w:val="0"/>
            <w:sz w:val="28"/>
            <w:szCs w:val="28"/>
          </w:rPr>
          <w:t>методическими указаниями</w:t>
        </w:r>
      </w:hyperlink>
      <w:r>
        <w:rPr>
          <w:rFonts w:eastAsia="Calibri"/>
          <w:kern w:val="0"/>
          <w:sz w:val="28"/>
          <w:szCs w:val="28"/>
        </w:rPr>
        <w:t xml:space="preserve"> с учетом особенностей, предусмотренных </w:t>
      </w:r>
      <w:hyperlink r:id="rId23" w:history="1">
        <w:r>
          <w:rPr>
            <w:rStyle w:val="a3"/>
            <w:rFonts w:eastAsia="Calibri"/>
            <w:kern w:val="0"/>
            <w:sz w:val="28"/>
            <w:szCs w:val="28"/>
          </w:rPr>
          <w:t>пунктом 43</w:t>
        </w:r>
      </w:hyperlink>
      <w:r>
        <w:rPr>
          <w:rFonts w:eastAsia="Calibri"/>
          <w:kern w:val="0"/>
          <w:sz w:val="28"/>
          <w:szCs w:val="28"/>
        </w:rPr>
        <w:t xml:space="preserve"> данного документа.</w:t>
      </w:r>
    </w:p>
    <w:p w:rsidR="00DD5ABD" w:rsidRDefault="00DD5ABD" w:rsidP="00DD5ABD">
      <w:pPr>
        <w:adjustRightInd w:val="0"/>
        <w:ind w:firstLine="709"/>
        <w:jc w:val="both"/>
        <w:rPr>
          <w:rFonts w:eastAsia="Calibri"/>
          <w:kern w:val="0"/>
          <w:sz w:val="28"/>
          <w:szCs w:val="28"/>
        </w:rPr>
      </w:pPr>
      <w:r>
        <w:rPr>
          <w:rFonts w:eastAsia="Calibri"/>
          <w:kern w:val="0"/>
          <w:sz w:val="28"/>
          <w:szCs w:val="28"/>
        </w:rPr>
        <w:t>В соответствии с пунктом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DD5ABD" w:rsidRDefault="00DD5ABD" w:rsidP="00DD5ABD">
      <w:pPr>
        <w:adjustRightInd w:val="0"/>
        <w:ind w:firstLine="709"/>
        <w:jc w:val="both"/>
        <w:rPr>
          <w:rFonts w:eastAsia="Calibri"/>
          <w:kern w:val="0"/>
          <w:sz w:val="28"/>
          <w:szCs w:val="28"/>
        </w:rPr>
      </w:pPr>
      <w:r>
        <w:rPr>
          <w:rFonts w:eastAsia="Calibri"/>
          <w:kern w:val="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4" w:history="1">
        <w:r>
          <w:rPr>
            <w:rStyle w:val="a3"/>
            <w:rFonts w:eastAsia="Calibri"/>
            <w:kern w:val="0"/>
            <w:sz w:val="28"/>
            <w:szCs w:val="28"/>
          </w:rPr>
          <w:t>Классификацией</w:t>
        </w:r>
      </w:hyperlink>
      <w:r>
        <w:rPr>
          <w:rFonts w:eastAsia="Calibri"/>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DD5ABD" w:rsidRDefault="00DD5ABD" w:rsidP="00DD5ABD">
      <w:pPr>
        <w:adjustRightInd w:val="0"/>
        <w:ind w:firstLine="709"/>
        <w:jc w:val="both"/>
        <w:rPr>
          <w:kern w:val="0"/>
          <w:sz w:val="28"/>
          <w:szCs w:val="28"/>
        </w:rPr>
      </w:pPr>
      <w:r>
        <w:rPr>
          <w:kern w:val="0"/>
          <w:sz w:val="28"/>
          <w:szCs w:val="28"/>
        </w:rPr>
        <w:t xml:space="preserve">При утверждении НВВ на 2025 год по статье </w:t>
      </w:r>
      <w:r>
        <w:rPr>
          <w:sz w:val="28"/>
          <w:szCs w:val="28"/>
        </w:rPr>
        <w:t xml:space="preserve">«расходы на амортизацию основных средств» </w:t>
      </w:r>
      <w:r>
        <w:rPr>
          <w:kern w:val="0"/>
          <w:sz w:val="28"/>
          <w:szCs w:val="28"/>
        </w:rPr>
        <w:t xml:space="preserve">Госкомитетом были учтены расходы на амортизационные отчисления в доле на тепловую энергию в размере 754 744,91 тысячи рублей из заявленных обществом 829 204,90 тысячи рублей. </w:t>
      </w:r>
    </w:p>
    <w:p w:rsidR="00DD5ABD" w:rsidRDefault="00DD5ABD" w:rsidP="00DD5ABD">
      <w:pPr>
        <w:adjustRightInd w:val="0"/>
        <w:ind w:firstLine="709"/>
        <w:jc w:val="both"/>
        <w:rPr>
          <w:sz w:val="28"/>
          <w:szCs w:val="28"/>
        </w:rPr>
      </w:pPr>
      <w:r>
        <w:rPr>
          <w:kern w:val="0"/>
          <w:sz w:val="28"/>
          <w:szCs w:val="28"/>
        </w:rPr>
        <w:t xml:space="preserve">Основаниями для отказа в принятии в заявленном размере упомянутых расходов административным ответчиком указано </w:t>
      </w:r>
      <w:r>
        <w:rPr>
          <w:sz w:val="28"/>
          <w:szCs w:val="28"/>
        </w:rPr>
        <w:t xml:space="preserve">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DD5ABD" w:rsidRDefault="00DD5ABD" w:rsidP="00DD5ABD">
      <w:pPr>
        <w:adjustRightInd w:val="0"/>
        <w:ind w:firstLine="709"/>
        <w:jc w:val="both"/>
        <w:rPr>
          <w:kern w:val="0"/>
          <w:sz w:val="28"/>
          <w:szCs w:val="28"/>
        </w:rPr>
      </w:pPr>
      <w:r>
        <w:rPr>
          <w:kern w:val="0"/>
          <w:sz w:val="28"/>
          <w:szCs w:val="28"/>
        </w:rPr>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(аренда, амортизация)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DD5ABD" w:rsidRDefault="00DD5ABD" w:rsidP="00DD5ABD">
      <w:pPr>
        <w:adjustRightInd w:val="0"/>
        <w:ind w:firstLine="709"/>
        <w:jc w:val="both"/>
        <w:rPr>
          <w:kern w:val="0"/>
          <w:sz w:val="28"/>
          <w:szCs w:val="28"/>
        </w:rPr>
      </w:pPr>
      <w:r>
        <w:rPr>
          <w:kern w:val="0"/>
          <w:sz w:val="28"/>
          <w:szCs w:val="28"/>
        </w:rPr>
        <w:t xml:space="preserve">Недочеты или противоречия в представленных административным истцом документах (инвентарных карточках, актах, расчетах арендной платы) могли быть устранены тарифным органом путем истребования </w:t>
      </w:r>
      <w:r>
        <w:rPr>
          <w:kern w:val="0"/>
          <w:sz w:val="28"/>
          <w:szCs w:val="28"/>
        </w:rPr>
        <w:lastRenderedPageBreak/>
        <w:t xml:space="preserve">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DD5ABD" w:rsidRDefault="00DD5ABD" w:rsidP="00DD5ABD">
      <w:pPr>
        <w:adjustRightInd w:val="0"/>
        <w:ind w:firstLine="709"/>
        <w:jc w:val="both"/>
        <w:rPr>
          <w:kern w:val="0"/>
          <w:sz w:val="28"/>
          <w:szCs w:val="28"/>
        </w:rPr>
      </w:pPr>
      <w:r>
        <w:rPr>
          <w:kern w:val="0"/>
          <w:sz w:val="28"/>
          <w:szCs w:val="28"/>
        </w:rPr>
        <w:t xml:space="preserve">Согласно </w:t>
      </w:r>
      <w:hyperlink r:id="rId25" w:history="1">
        <w:r>
          <w:rPr>
            <w:rStyle w:val="a3"/>
            <w:kern w:val="0"/>
            <w:sz w:val="28"/>
            <w:szCs w:val="28"/>
          </w:rPr>
          <w:t>пункту 20</w:t>
        </w:r>
      </w:hyperlink>
      <w:r>
        <w:rPr>
          <w:kern w:val="0"/>
          <w:sz w:val="28"/>
          <w:szCs w:val="28"/>
        </w:rPr>
        <w:t xml:space="preserve"> Правил регулирования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w:t>
      </w:r>
    </w:p>
    <w:p w:rsidR="00DD5ABD" w:rsidRDefault="00DD5ABD" w:rsidP="00DD5ABD">
      <w:pPr>
        <w:adjustRightInd w:val="0"/>
        <w:ind w:firstLine="709"/>
        <w:jc w:val="both"/>
        <w:rPr>
          <w:kern w:val="0"/>
          <w:sz w:val="28"/>
          <w:szCs w:val="28"/>
        </w:rPr>
      </w:pPr>
      <w:r>
        <w:rPr>
          <w:kern w:val="0"/>
          <w:sz w:val="28"/>
          <w:szCs w:val="28"/>
        </w:rPr>
        <w:t xml:space="preserve">Представители тарифного органа в судебном заседании утверждали, что дополнительная информация по статье расходов </w:t>
      </w:r>
      <w:r>
        <w:rPr>
          <w:sz w:val="28"/>
          <w:szCs w:val="28"/>
        </w:rPr>
        <w:t>«расходы на амортизацию основных средств», «аренда»</w:t>
      </w:r>
      <w:r>
        <w:rPr>
          <w:kern w:val="0"/>
          <w:sz w:val="28"/>
          <w:szCs w:val="28"/>
        </w:rPr>
        <w:t xml:space="preserve"> не запрашивалась</w:t>
      </w:r>
      <w:r>
        <w:rPr>
          <w:sz w:val="28"/>
          <w:szCs w:val="28"/>
        </w:rPr>
        <w:t>. Неполнота представленных документов, по мнению уполномоченного лица</w:t>
      </w:r>
      <w:r>
        <w:rPr>
          <w:kern w:val="0"/>
          <w:sz w:val="28"/>
          <w:szCs w:val="28"/>
        </w:rPr>
        <w:t xml:space="preserve"> по тарифному делу</w:t>
      </w:r>
      <w:r>
        <w:rPr>
          <w:sz w:val="28"/>
          <w:szCs w:val="28"/>
        </w:rPr>
        <w:t xml:space="preserve"> Госкомитета, была доведена до сведения работников общества неформально. </w:t>
      </w:r>
      <w:r>
        <w:rPr>
          <w:kern w:val="0"/>
          <w:sz w:val="28"/>
          <w:szCs w:val="28"/>
        </w:rPr>
        <w:t xml:space="preserve"> </w:t>
      </w:r>
    </w:p>
    <w:p w:rsidR="00DD5ABD" w:rsidRDefault="00DD5ABD" w:rsidP="00DD5ABD">
      <w:pPr>
        <w:adjustRightInd w:val="0"/>
        <w:ind w:firstLine="709"/>
        <w:jc w:val="both"/>
        <w:rPr>
          <w:kern w:val="0"/>
          <w:sz w:val="28"/>
          <w:szCs w:val="28"/>
        </w:rPr>
      </w:pPr>
      <w:r>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учитывая отсутствие в экспертном заключении обоснования недостатков документов, подтверждающих спорные расходы, Комитет должен был предложить регулируемой организации представить дополнительные материалы. </w:t>
      </w:r>
    </w:p>
    <w:p w:rsidR="00DD5ABD" w:rsidRDefault="00DD5ABD" w:rsidP="00DD5ABD">
      <w:pPr>
        <w:adjustRightInd w:val="0"/>
        <w:ind w:firstLine="709"/>
        <w:jc w:val="both"/>
        <w:rPr>
          <w:kern w:val="0"/>
          <w:sz w:val="28"/>
          <w:szCs w:val="28"/>
        </w:rPr>
      </w:pPr>
      <w:r>
        <w:rPr>
          <w:kern w:val="0"/>
          <w:sz w:val="28"/>
          <w:szCs w:val="28"/>
        </w:rPr>
        <w:t xml:space="preserve">Общими принципами организации отношений в сфере теплоснабжения, помимо прочего, являются соблюдение баланса экономических интересов теплоснабжающих организаций и интересов потребителей; обеспечение недискриминационных и стабильных условий осуществления предпринимательской деятельности в сфере теплоснабжения (пункты 5, 7 части 1 </w:t>
      </w:r>
      <w:hyperlink r:id="rId26" w:history="1">
        <w:r>
          <w:rPr>
            <w:rStyle w:val="a3"/>
            <w:kern w:val="0"/>
            <w:sz w:val="28"/>
            <w:szCs w:val="28"/>
          </w:rPr>
          <w:t>статья 3</w:t>
        </w:r>
      </w:hyperlink>
      <w:r>
        <w:rPr>
          <w:kern w:val="0"/>
          <w:sz w:val="28"/>
          <w:szCs w:val="28"/>
        </w:rPr>
        <w:t xml:space="preserve"> Федерального </w:t>
      </w:r>
      <w:hyperlink r:id="rId27" w:history="1">
        <w:r>
          <w:rPr>
            <w:rStyle w:val="a3"/>
            <w:kern w:val="0"/>
            <w:sz w:val="28"/>
            <w:szCs w:val="28"/>
          </w:rPr>
          <w:t>закон</w:t>
        </w:r>
      </w:hyperlink>
      <w:r>
        <w:rPr>
          <w:kern w:val="0"/>
          <w:sz w:val="28"/>
          <w:szCs w:val="28"/>
        </w:rPr>
        <w:t>а от 27 июля 2010 года № 190-ФЗ).</w:t>
      </w:r>
    </w:p>
    <w:p w:rsidR="00DD5ABD" w:rsidRDefault="00DD5ABD" w:rsidP="00DD5ABD">
      <w:pPr>
        <w:adjustRightInd w:val="0"/>
        <w:ind w:firstLine="709"/>
        <w:jc w:val="both"/>
        <w:rPr>
          <w:kern w:val="0"/>
          <w:sz w:val="28"/>
          <w:szCs w:val="28"/>
        </w:rPr>
      </w:pPr>
      <w:r>
        <w:rPr>
          <w:kern w:val="0"/>
          <w:sz w:val="28"/>
          <w:szCs w:val="28"/>
        </w:rPr>
        <w:t>Исходя из указанных принципов подход тарифного органа должен быть предсказуемым для регулируемой организации и не создавать непреодолимых препятствий для установления экономически обоснованного тарифа.</w:t>
      </w:r>
    </w:p>
    <w:p w:rsidR="00DD5ABD" w:rsidRDefault="00DD5ABD" w:rsidP="00DD5ABD">
      <w:pPr>
        <w:adjustRightInd w:val="0"/>
        <w:ind w:firstLine="709"/>
        <w:jc w:val="both"/>
        <w:rPr>
          <w:kern w:val="0"/>
          <w:sz w:val="28"/>
          <w:szCs w:val="28"/>
        </w:rPr>
      </w:pPr>
      <w:r>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Pr>
          <w:sz w:val="28"/>
          <w:szCs w:val="28"/>
        </w:rPr>
        <w:t>«расходы на амортизацию основных средств»</w:t>
      </w:r>
      <w:r>
        <w:rPr>
          <w:kern w:val="0"/>
          <w:sz w:val="28"/>
          <w:szCs w:val="28"/>
        </w:rPr>
        <w:t>, «аренда», тарифный орган существенно нарушил принципы тарифного регулирования в сфере теплоснабжения.</w:t>
      </w:r>
    </w:p>
    <w:p w:rsidR="00DD5ABD" w:rsidRDefault="00DD5ABD" w:rsidP="00DD5ABD">
      <w:pPr>
        <w:adjustRightInd w:val="0"/>
        <w:ind w:firstLine="709"/>
        <w:jc w:val="both"/>
        <w:rPr>
          <w:kern w:val="0"/>
          <w:sz w:val="28"/>
          <w:szCs w:val="28"/>
        </w:rPr>
      </w:pPr>
      <w:r>
        <w:rPr>
          <w:kern w:val="0"/>
          <w:sz w:val="28"/>
          <w:szCs w:val="28"/>
        </w:rPr>
        <w:t xml:space="preserve">Вместе с тем, по мнению суда, при расчете экономически обоснованного размера амортизации на 2025 год регулирования срок полезного использования активов и отнесение этих активов к соответствующей амортизационной группе должен определяться органами регулирования в соответствии с максимальными сроками полезного использования, установленными </w:t>
      </w:r>
      <w:hyperlink r:id="rId28" w:history="1">
        <w:r>
          <w:rPr>
            <w:rStyle w:val="a3"/>
            <w:kern w:val="0"/>
            <w:sz w:val="28"/>
            <w:szCs w:val="28"/>
          </w:rPr>
          <w:t>Классификацией</w:t>
        </w:r>
      </w:hyperlink>
      <w:r>
        <w:rPr>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w:t>
      </w:r>
      <w:r>
        <w:rPr>
          <w:kern w:val="0"/>
          <w:sz w:val="28"/>
          <w:szCs w:val="28"/>
        </w:rPr>
        <w:lastRenderedPageBreak/>
        <w:t>Классификации основных средств, включаемых в амортизационные группы».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Такой подход согласуется с положениями пункта 43 Основ ценообразования.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29" w:history="1">
        <w:r>
          <w:rPr>
            <w:rStyle w:val="a3"/>
            <w:rFonts w:eastAsia="Calibri"/>
            <w:kern w:val="0"/>
            <w:sz w:val="28"/>
            <w:szCs w:val="28"/>
          </w:rPr>
          <w:t>пункт 71</w:t>
        </w:r>
      </w:hyperlink>
      <w:r>
        <w:rPr>
          <w:rFonts w:eastAsia="Calibri"/>
          <w:kern w:val="0"/>
          <w:sz w:val="28"/>
          <w:szCs w:val="28"/>
        </w:rPr>
        <w:t xml:space="preserve"> Основ ценообразования), которая включает в себя, помимо прочих,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0" w:history="1">
        <w:r>
          <w:rPr>
            <w:rStyle w:val="a3"/>
            <w:rFonts w:eastAsia="Calibri"/>
            <w:kern w:val="0"/>
            <w:sz w:val="28"/>
            <w:szCs w:val="28"/>
          </w:rPr>
          <w:t>кодексом</w:t>
        </w:r>
      </w:hyperlink>
      <w:r>
        <w:rPr>
          <w:rFonts w:eastAsia="Calibri"/>
          <w:kern w:val="0"/>
          <w:sz w:val="28"/>
          <w:szCs w:val="28"/>
        </w:rPr>
        <w:t xml:space="preserve"> Российской Федерации (</w:t>
      </w:r>
      <w:hyperlink r:id="rId31" w:history="1">
        <w:r>
          <w:rPr>
            <w:rStyle w:val="a3"/>
            <w:rFonts w:eastAsia="Calibri"/>
            <w:kern w:val="0"/>
            <w:sz w:val="28"/>
            <w:szCs w:val="28"/>
          </w:rPr>
          <w:t>пункт 74</w:t>
        </w:r>
      </w:hyperlink>
      <w:r>
        <w:rPr>
          <w:rFonts w:eastAsia="Calibri"/>
          <w:kern w:val="0"/>
          <w:sz w:val="28"/>
          <w:szCs w:val="28"/>
        </w:rPr>
        <w:t xml:space="preserve"> Основ ценообразования). </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Согласно пункту 41 Методических указаний нормативная прибыль определяется в соответствии с </w:t>
      </w:r>
      <w:hyperlink r:id="rId32" w:anchor="Par1" w:history="1">
        <w:r>
          <w:rPr>
            <w:rStyle w:val="a3"/>
            <w:rFonts w:eastAsia="Calibri"/>
            <w:kern w:val="0"/>
            <w:sz w:val="28"/>
            <w:szCs w:val="28"/>
          </w:rPr>
          <w:t>формулой 12.1</w:t>
        </w:r>
      </w:hyperlink>
      <w:r>
        <w:rPr>
          <w:rFonts w:eastAsia="Calibri"/>
          <w:kern w:val="0"/>
          <w:sz w:val="28"/>
          <w:szCs w:val="28"/>
        </w:rPr>
        <w:t xml:space="preserve"> </w:t>
      </w:r>
    </w:p>
    <w:p w:rsidR="00DD5ABD" w:rsidRDefault="00DD5ABD" w:rsidP="00DD5ABD">
      <w:pPr>
        <w:adjustRightInd w:val="0"/>
        <w:ind w:firstLine="709"/>
        <w:jc w:val="center"/>
        <w:rPr>
          <w:rFonts w:eastAsia="Calibri"/>
          <w:kern w:val="0"/>
          <w:sz w:val="28"/>
          <w:szCs w:val="28"/>
        </w:rPr>
      </w:pPr>
      <w:bookmarkStart w:id="1" w:name="Par1"/>
      <w:bookmarkEnd w:id="1"/>
      <w:r>
        <w:rPr>
          <w:rFonts w:eastAsia="Calibri"/>
          <w:noProof/>
          <w:kern w:val="0"/>
          <w:position w:val="-12"/>
          <w:sz w:val="28"/>
          <w:szCs w:val="28"/>
        </w:rPr>
        <w:drawing>
          <wp:inline distT="0" distB="0" distL="0" distR="0">
            <wp:extent cx="2044700"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44700" cy="331470"/>
                    </a:xfrm>
                    <a:prstGeom prst="rect">
                      <a:avLst/>
                    </a:prstGeom>
                    <a:noFill/>
                    <a:ln>
                      <a:noFill/>
                    </a:ln>
                  </pic:spPr>
                </pic:pic>
              </a:graphicData>
            </a:graphic>
          </wp:inline>
        </w:drawing>
      </w:r>
      <w:r>
        <w:rPr>
          <w:rFonts w:eastAsia="Calibri"/>
          <w:kern w:val="0"/>
          <w:sz w:val="28"/>
          <w:szCs w:val="28"/>
        </w:rPr>
        <w:t xml:space="preserve">, </w:t>
      </w:r>
    </w:p>
    <w:p w:rsidR="00DD5ABD" w:rsidRDefault="00DD5ABD" w:rsidP="00DD5ABD">
      <w:pPr>
        <w:adjustRightInd w:val="0"/>
        <w:ind w:firstLine="709"/>
        <w:jc w:val="both"/>
        <w:rPr>
          <w:rFonts w:eastAsia="Calibri"/>
          <w:kern w:val="0"/>
          <w:sz w:val="28"/>
          <w:szCs w:val="28"/>
        </w:rPr>
      </w:pPr>
      <w:r>
        <w:rPr>
          <w:rFonts w:eastAsia="Calibri"/>
          <w:kern w:val="0"/>
          <w:sz w:val="28"/>
          <w:szCs w:val="28"/>
        </w:rPr>
        <w:t>где:</w:t>
      </w:r>
    </w:p>
    <w:p w:rsidR="00DD5ABD" w:rsidRDefault="00DD5ABD" w:rsidP="00DD5ABD">
      <w:pPr>
        <w:adjustRightInd w:val="0"/>
        <w:ind w:firstLine="709"/>
        <w:jc w:val="both"/>
        <w:rPr>
          <w:rFonts w:eastAsia="Calibri"/>
          <w:kern w:val="0"/>
          <w:sz w:val="28"/>
          <w:szCs w:val="28"/>
        </w:rPr>
      </w:pPr>
      <w:r>
        <w:rPr>
          <w:rFonts w:eastAsia="Calibri"/>
          <w:kern w:val="0"/>
          <w:sz w:val="28"/>
          <w:szCs w:val="28"/>
        </w:rPr>
        <w:t>КВ</w:t>
      </w:r>
      <w:r>
        <w:rPr>
          <w:rFonts w:eastAsia="Calibri"/>
          <w:kern w:val="0"/>
          <w:sz w:val="28"/>
          <w:szCs w:val="28"/>
          <w:vertAlign w:val="subscript"/>
        </w:rPr>
        <w:t>i</w:t>
      </w:r>
      <w:r>
        <w:rPr>
          <w:rFonts w:eastAsia="Calibri"/>
          <w:kern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DD5ABD" w:rsidRDefault="00DD5ABD" w:rsidP="00DD5ABD">
      <w:pPr>
        <w:adjustRightInd w:val="0"/>
        <w:ind w:firstLine="709"/>
        <w:jc w:val="both"/>
        <w:rPr>
          <w:rFonts w:eastAsia="Calibri"/>
          <w:kern w:val="0"/>
          <w:sz w:val="28"/>
          <w:szCs w:val="28"/>
        </w:rPr>
      </w:pPr>
      <w:r>
        <w:rPr>
          <w:rFonts w:eastAsia="Calibri"/>
          <w:noProof/>
          <w:kern w:val="0"/>
          <w:position w:val="-12"/>
          <w:sz w:val="28"/>
          <w:szCs w:val="28"/>
        </w:rPr>
        <w:drawing>
          <wp:inline distT="0" distB="0" distL="0" distR="0">
            <wp:extent cx="51117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1175" cy="331470"/>
                    </a:xfrm>
                    <a:prstGeom prst="rect">
                      <a:avLst/>
                    </a:prstGeom>
                    <a:noFill/>
                    <a:ln>
                      <a:noFill/>
                    </a:ln>
                  </pic:spPr>
                </pic:pic>
              </a:graphicData>
            </a:graphic>
          </wp:inline>
        </w:drawing>
      </w:r>
      <w:r>
        <w:rPr>
          <w:rFonts w:eastAsia="Calibri"/>
          <w:kern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35" w:history="1">
        <w:r>
          <w:rPr>
            <w:rStyle w:val="a3"/>
            <w:rFonts w:eastAsia="Calibri"/>
            <w:kern w:val="0"/>
            <w:sz w:val="28"/>
            <w:szCs w:val="28"/>
          </w:rPr>
          <w:t>пункта 13</w:t>
        </w:r>
      </w:hyperlink>
      <w:r>
        <w:rPr>
          <w:rFonts w:eastAsia="Calibri"/>
          <w:kern w:val="0"/>
          <w:sz w:val="28"/>
          <w:szCs w:val="28"/>
        </w:rPr>
        <w:t xml:space="preserve"> Основ ценообразования;</w:t>
      </w:r>
    </w:p>
    <w:p w:rsidR="00DD5ABD" w:rsidRDefault="00DD5ABD" w:rsidP="00DD5ABD">
      <w:pPr>
        <w:adjustRightInd w:val="0"/>
        <w:ind w:firstLine="709"/>
        <w:jc w:val="both"/>
        <w:rPr>
          <w:rFonts w:eastAsia="Calibri"/>
          <w:kern w:val="0"/>
          <w:sz w:val="28"/>
          <w:szCs w:val="28"/>
        </w:rPr>
      </w:pPr>
      <w:r>
        <w:rPr>
          <w:rFonts w:eastAsia="Calibri"/>
          <w:kern w:val="0"/>
          <w:sz w:val="28"/>
          <w:szCs w:val="28"/>
        </w:rPr>
        <w:t>КД</w:t>
      </w:r>
      <w:r>
        <w:rPr>
          <w:rFonts w:eastAsia="Calibri"/>
          <w:kern w:val="0"/>
          <w:sz w:val="28"/>
          <w:szCs w:val="28"/>
          <w:vertAlign w:val="subscript"/>
        </w:rPr>
        <w:t>i</w:t>
      </w:r>
      <w:r>
        <w:rPr>
          <w:rFonts w:eastAsia="Calibri"/>
          <w:kern w:val="0"/>
          <w:sz w:val="28"/>
          <w:szCs w:val="28"/>
        </w:rPr>
        <w:t xml:space="preserve"> - экономически обоснованные расходы на выплаты, предусмотренные коллективными договорами, не учитываемые при </w:t>
      </w:r>
      <w:r>
        <w:rPr>
          <w:rFonts w:eastAsia="Calibri"/>
          <w:kern w:val="0"/>
          <w:sz w:val="28"/>
          <w:szCs w:val="28"/>
        </w:rPr>
        <w:lastRenderedPageBreak/>
        <w:t xml:space="preserve">определении налоговой базы налога на прибыль (расходов, относимых на прибыль после налогообложения) в соответствии с Налоговым </w:t>
      </w:r>
      <w:hyperlink r:id="rId36"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DD5ABD" w:rsidRDefault="00DD5ABD" w:rsidP="00DD5ABD">
      <w:pPr>
        <w:adjustRightInd w:val="0"/>
        <w:ind w:firstLine="709"/>
        <w:jc w:val="both"/>
        <w:rPr>
          <w:rFonts w:eastAsia="Calibri"/>
          <w:kern w:val="0"/>
          <w:sz w:val="28"/>
          <w:szCs w:val="28"/>
        </w:rPr>
      </w:pPr>
      <w:r>
        <w:rPr>
          <w:rFonts w:eastAsia="Calibri"/>
          <w:kern w:val="0"/>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DD5ABD" w:rsidRDefault="00DD5ABD" w:rsidP="00DD5ABD">
      <w:pPr>
        <w:adjustRightInd w:val="0"/>
        <w:ind w:firstLine="709"/>
        <w:jc w:val="both"/>
        <w:outlineLvl w:val="0"/>
        <w:rPr>
          <w:rFonts w:eastAsia="Calibri"/>
          <w:kern w:val="0"/>
          <w:sz w:val="28"/>
          <w:szCs w:val="28"/>
        </w:rPr>
      </w:pPr>
      <w:r>
        <w:rPr>
          <w:rFonts w:eastAsia="Calibri"/>
          <w:kern w:val="0"/>
          <w:sz w:val="28"/>
          <w:szCs w:val="28"/>
        </w:rPr>
        <w:t>Расходы на уплату налогов включаются в НВВ регулируемой организации в составе неподконтрольных расходов (</w:t>
      </w:r>
      <w:hyperlink r:id="rId37" w:history="1">
        <w:r>
          <w:rPr>
            <w:rStyle w:val="a3"/>
            <w:rFonts w:eastAsia="Calibri"/>
            <w:kern w:val="0"/>
            <w:sz w:val="28"/>
            <w:szCs w:val="28"/>
          </w:rPr>
          <w:t>подпункт «б» пункта 62</w:t>
        </w:r>
      </w:hyperlink>
      <w:r>
        <w:rPr>
          <w:rFonts w:eastAsia="Calibri"/>
          <w:kern w:val="0"/>
          <w:sz w:val="28"/>
          <w:szCs w:val="28"/>
        </w:rPr>
        <w:t xml:space="preserve">, </w:t>
      </w:r>
      <w:hyperlink r:id="rId38" w:history="1">
        <w:r>
          <w:rPr>
            <w:rStyle w:val="a3"/>
            <w:rFonts w:eastAsia="Calibri"/>
            <w:kern w:val="0"/>
            <w:sz w:val="28"/>
            <w:szCs w:val="28"/>
          </w:rPr>
          <w:t>пункт 73</w:t>
        </w:r>
      </w:hyperlink>
      <w:r>
        <w:rPr>
          <w:rFonts w:eastAsia="Calibri"/>
          <w:kern w:val="0"/>
          <w:sz w:val="28"/>
          <w:szCs w:val="28"/>
        </w:rPr>
        <w:t xml:space="preserve"> Основ ценообразования). Как следует из </w:t>
      </w:r>
      <w:hyperlink r:id="rId39" w:history="1">
        <w:r>
          <w:rPr>
            <w:rStyle w:val="a3"/>
            <w:rFonts w:eastAsia="Calibri"/>
            <w:kern w:val="0"/>
            <w:sz w:val="28"/>
            <w:szCs w:val="28"/>
          </w:rPr>
          <w:t>пункта 23</w:t>
        </w:r>
      </w:hyperlink>
      <w:r>
        <w:rPr>
          <w:rFonts w:eastAsia="Calibri"/>
          <w:kern w:val="0"/>
          <w:sz w:val="28"/>
          <w:szCs w:val="28"/>
        </w:rPr>
        <w:t xml:space="preserve"> Методических указаний планируемая на соответствующий расчетный период регулирования величина налога на прибыль определяется в соответствии с Налоговым </w:t>
      </w:r>
      <w:hyperlink r:id="rId40"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Из содержания экспертного заключения следует, что органом регулирования по статье расходов «налог на прибыль» принято 311 570,49 тысячи рублей, а обществом заявлено по данной статье расходов 324 138,68 тысячи рублей. При этом в нарушение </w:t>
      </w:r>
      <w:hyperlink r:id="rId41"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рассчитанной регулируемой организацией величины нормативной прибыли.</w:t>
      </w:r>
    </w:p>
    <w:p w:rsidR="00DD5ABD" w:rsidRDefault="00DD5ABD" w:rsidP="00DD5ABD">
      <w:pPr>
        <w:adjustRightInd w:val="0"/>
        <w:ind w:firstLine="709"/>
        <w:jc w:val="both"/>
        <w:rPr>
          <w:sz w:val="28"/>
          <w:szCs w:val="28"/>
        </w:rPr>
      </w:pPr>
      <w:r>
        <w:rPr>
          <w:sz w:val="28"/>
          <w:szCs w:val="28"/>
        </w:rPr>
        <w:t xml:space="preserve">При этом суд отмечает, что тарифный орган фактические расходы АО «Татэнерго», относимые на прибыль после налогообложения, не оспаривает, отчет по исполнению инвестиционной программы за 2023 год принят административным ответчиком без возражений. </w:t>
      </w:r>
    </w:p>
    <w:p w:rsidR="00DD5ABD" w:rsidRDefault="00DD5ABD" w:rsidP="00DD5ABD">
      <w:pPr>
        <w:adjustRightInd w:val="0"/>
        <w:ind w:firstLine="709"/>
        <w:jc w:val="both"/>
        <w:rPr>
          <w:rFonts w:eastAsia="Calibri"/>
          <w:kern w:val="0"/>
          <w:sz w:val="28"/>
          <w:szCs w:val="28"/>
        </w:rPr>
      </w:pPr>
      <w:r>
        <w:rPr>
          <w:rFonts w:eastAsia="Calibri"/>
          <w:kern w:val="0"/>
          <w:sz w:val="28"/>
          <w:szCs w:val="28"/>
        </w:rPr>
        <w:t>Согласно пункту 47 Основ ценообразования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(подпункт «а»).</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Экспертное заключение содержит сведения о том, что органом регулирования из заявленных обществом по статье «расходы по сомнительным долгам» принято 1 686,86 тысячи рублей. При этом в нарушение </w:t>
      </w:r>
      <w:hyperlink r:id="rId42"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рассчитанной регулируемой организацией всего размера данного вида расходов.</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Суд обращает внимание, что в нарушение статьи 62 Кодекса административного судопроизводства Российской Федерации тарифным органом не опровергнуто утверждение и доказательства общества о </w:t>
      </w:r>
      <w:r>
        <w:rPr>
          <w:rFonts w:eastAsia="Calibri"/>
          <w:kern w:val="0"/>
          <w:sz w:val="28"/>
          <w:szCs w:val="28"/>
        </w:rPr>
        <w:lastRenderedPageBreak/>
        <w:t xml:space="preserve">представлении документов, подтверждающих наличие дебиторской задолженности, истечение сроков давности по ней, а также документы о невозможности исполнения обязательств должниками.  </w:t>
      </w:r>
    </w:p>
    <w:p w:rsidR="00DD5ABD" w:rsidRDefault="00DD5ABD" w:rsidP="00DD5ABD">
      <w:pPr>
        <w:adjustRightInd w:val="0"/>
        <w:ind w:firstLine="709"/>
        <w:jc w:val="both"/>
        <w:rPr>
          <w:rFonts w:eastAsia="Calibri"/>
          <w:kern w:val="0"/>
          <w:sz w:val="28"/>
          <w:szCs w:val="28"/>
        </w:rPr>
      </w:pPr>
      <w:r>
        <w:rPr>
          <w:rFonts w:eastAsia="Calibri"/>
          <w:kern w:val="0"/>
          <w:sz w:val="28"/>
          <w:szCs w:val="28"/>
        </w:rPr>
        <w:t>Суд соглашается с доводами административного истца о неправомерном учете регулирующим органом</w:t>
      </w:r>
      <w:r>
        <w:rPr>
          <w:sz w:val="28"/>
          <w:szCs w:val="28"/>
        </w:rPr>
        <w:t xml:space="preserve"> в НВВ величины расчетной предпринимательской прибыли (далее – РПП) в части источников по производству тепловой энергии в комбинированном режиме (Казанская ТЭЦ-1, Казанская ТЭЦ-2)</w:t>
      </w:r>
      <w:r>
        <w:rPr>
          <w:rFonts w:eastAsia="Calibri"/>
          <w:kern w:val="0"/>
          <w:sz w:val="28"/>
          <w:szCs w:val="28"/>
        </w:rPr>
        <w:t xml:space="preserve">. </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DD5ABD" w:rsidRDefault="00DD5ABD" w:rsidP="00DD5ABD">
      <w:pPr>
        <w:adjustRightInd w:val="0"/>
        <w:ind w:firstLine="709"/>
        <w:jc w:val="both"/>
        <w:rPr>
          <w:rFonts w:eastAsia="Calibri"/>
          <w:kern w:val="0"/>
          <w:sz w:val="28"/>
          <w:szCs w:val="28"/>
        </w:rPr>
      </w:pPr>
      <w:r>
        <w:rPr>
          <w:rFonts w:eastAsia="Calibri"/>
          <w:kern w:val="0"/>
          <w:sz w:val="28"/>
          <w:szCs w:val="28"/>
        </w:rPr>
        <w:t>Между тем суд не может согласиться с обоснованностью данных доводов.</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Согласно </w:t>
      </w:r>
      <w:hyperlink r:id="rId43" w:history="1">
        <w:r>
          <w:rPr>
            <w:rStyle w:val="a3"/>
            <w:rFonts w:eastAsia="Calibri"/>
            <w:kern w:val="0"/>
            <w:sz w:val="28"/>
            <w:szCs w:val="28"/>
          </w:rPr>
          <w:t>пункту 2</w:t>
        </w:r>
      </w:hyperlink>
      <w:r>
        <w:rPr>
          <w:rFonts w:eastAsia="Calibri"/>
          <w:kern w:val="0"/>
          <w:sz w:val="28"/>
          <w:szCs w:val="28"/>
        </w:rPr>
        <w:t xml:space="preserve"> Основ ценообразования РПП регулируемой организации является величиной, учитываемой при определении НВВ регулируемой организации при расчете тарифов с применением в том числе метода индексации установленных тарифов на каждый год долгосрочного периода регулирования, остающейся в распоряжении регулируемой организации и расходуемой по ее усмотрению. </w:t>
      </w:r>
    </w:p>
    <w:p w:rsidR="00DD5ABD" w:rsidRDefault="00DD5ABD" w:rsidP="00DD5ABD">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с </w:t>
      </w:r>
      <w:hyperlink r:id="rId44" w:history="1">
        <w:r>
          <w:rPr>
            <w:rStyle w:val="a3"/>
            <w:kern w:val="0"/>
            <w:sz w:val="28"/>
            <w:szCs w:val="28"/>
          </w:rPr>
          <w:t>пунктом 73</w:t>
        </w:r>
      </w:hyperlink>
      <w:r>
        <w:rPr>
          <w:kern w:val="0"/>
          <w:sz w:val="28"/>
          <w:szCs w:val="28"/>
        </w:rP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Случаи, в которых расчетная предпринимательская прибыль не включается в НВВ регулируемой организации, перечислены в </w:t>
      </w:r>
      <w:hyperlink r:id="rId45" w:history="1">
        <w:r>
          <w:rPr>
            <w:rStyle w:val="a3"/>
            <w:rFonts w:eastAsia="Calibri"/>
            <w:kern w:val="0"/>
            <w:sz w:val="28"/>
            <w:szCs w:val="28"/>
          </w:rPr>
          <w:t>пункте 48 (2)</w:t>
        </w:r>
      </w:hyperlink>
      <w:r>
        <w:rPr>
          <w:rFonts w:eastAsia="Calibri"/>
          <w:kern w:val="0"/>
          <w:sz w:val="28"/>
          <w:szCs w:val="28"/>
        </w:rPr>
        <w:t xml:space="preserve"> Основ ценообразования, положения которого в данном случае не подлежат применению.</w:t>
      </w:r>
    </w:p>
    <w:p w:rsidR="00DD5ABD" w:rsidRDefault="00DD5ABD" w:rsidP="00DD5ABD">
      <w:pPr>
        <w:adjustRightInd w:val="0"/>
        <w:ind w:firstLine="709"/>
        <w:jc w:val="both"/>
        <w:rPr>
          <w:sz w:val="28"/>
          <w:szCs w:val="28"/>
        </w:rPr>
      </w:pPr>
      <w:r>
        <w:rPr>
          <w:rFonts w:eastAsia="Calibri"/>
          <w:kern w:val="0"/>
          <w:sz w:val="28"/>
          <w:szCs w:val="28"/>
        </w:rPr>
        <w:t xml:space="preserve">Суд также отмечает, что вопреки доводам административного ответчика, производство </w:t>
      </w:r>
      <w:r>
        <w:rPr>
          <w:sz w:val="28"/>
          <w:szCs w:val="28"/>
        </w:rPr>
        <w:t>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(Казанская ТЭЦ-1, Казанская ТЭЦ-2), является самостоятельным технологическим процессом.</w:t>
      </w:r>
    </w:p>
    <w:p w:rsidR="00DD5ABD" w:rsidRDefault="00DD5ABD" w:rsidP="00DD5ABD">
      <w:pPr>
        <w:adjustRightInd w:val="0"/>
        <w:ind w:firstLine="709"/>
        <w:jc w:val="both"/>
        <w:rPr>
          <w:sz w:val="28"/>
          <w:szCs w:val="28"/>
        </w:rPr>
      </w:pPr>
      <w:r>
        <w:rPr>
          <w:sz w:val="28"/>
          <w:szCs w:val="28"/>
        </w:rPr>
        <w:lastRenderedPageBreak/>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DD5ABD" w:rsidRDefault="00DD5ABD" w:rsidP="00DD5ABD">
      <w:pPr>
        <w:adjustRightInd w:val="0"/>
        <w:ind w:firstLine="709"/>
        <w:jc w:val="both"/>
        <w:rPr>
          <w:sz w:val="28"/>
          <w:szCs w:val="28"/>
        </w:rPr>
      </w:pPr>
      <w:r>
        <w:rPr>
          <w:sz w:val="28"/>
          <w:szCs w:val="28"/>
        </w:rPr>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Казанской ТЭЦ-1, Казанской ТЭЦ-2, который не включает передачу и сбыт тепловой энергии. Таким образом, бремя оплаты РПП относится на конечного потребителя, то есть главным образом на население.      </w:t>
      </w:r>
    </w:p>
    <w:p w:rsidR="00DD5ABD" w:rsidRDefault="00DD5ABD" w:rsidP="00DD5ABD">
      <w:pPr>
        <w:adjustRightInd w:val="0"/>
        <w:ind w:firstLine="709"/>
        <w:jc w:val="both"/>
        <w:outlineLvl w:val="0"/>
        <w:rPr>
          <w:rFonts w:eastAsia="Calibri"/>
          <w:kern w:val="0"/>
          <w:sz w:val="28"/>
          <w:szCs w:val="28"/>
        </w:rPr>
      </w:pPr>
      <w:r>
        <w:rPr>
          <w:rFonts w:eastAsia="Calibri"/>
          <w:kern w:val="0"/>
          <w:sz w:val="28"/>
          <w:szCs w:val="28"/>
        </w:rPr>
        <w:t xml:space="preserve">Следовательно, оснований для включения регулирующим органом РПП в части деятельности АО «Татэнерго» по производству </w:t>
      </w:r>
      <w:r>
        <w:rPr>
          <w:sz w:val="28"/>
          <w:szCs w:val="28"/>
        </w:rPr>
        <w:t xml:space="preserve">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(Казанская ТЭЦ-1, Казанская ТЭЦ-2) </w:t>
      </w:r>
      <w:r>
        <w:rPr>
          <w:rFonts w:eastAsia="Calibri"/>
          <w:kern w:val="0"/>
          <w:sz w:val="28"/>
          <w:szCs w:val="28"/>
        </w:rPr>
        <w:t xml:space="preserve">в НВВ общества при установлении тарифа </w:t>
      </w:r>
      <w:r>
        <w:rPr>
          <w:sz w:val="28"/>
          <w:szCs w:val="28"/>
        </w:rPr>
        <w:t xml:space="preserve">на тепловую энергию, поставляемую АО «Татэнерго» потребителям, другим теплоснабжающим организациям города Казани, </w:t>
      </w:r>
      <w:r>
        <w:rPr>
          <w:rFonts w:eastAsia="Calibri"/>
          <w:kern w:val="0"/>
          <w:sz w:val="28"/>
          <w:szCs w:val="28"/>
        </w:rPr>
        <w:t>не имелось, поскольку это противоречит принципу тарифного регулирования по раздельному учету регулируемых видов деятельности.</w:t>
      </w:r>
    </w:p>
    <w:p w:rsidR="00DD5ABD" w:rsidRDefault="00DD5ABD" w:rsidP="00DD5ABD">
      <w:pPr>
        <w:adjustRightInd w:val="0"/>
        <w:ind w:firstLine="709"/>
        <w:jc w:val="both"/>
        <w:rPr>
          <w:kern w:val="0"/>
          <w:sz w:val="28"/>
          <w:szCs w:val="28"/>
        </w:rPr>
      </w:pPr>
      <w:r>
        <w:rPr>
          <w:sz w:val="28"/>
          <w:szCs w:val="28"/>
        </w:rPr>
        <w:t>Суд соглашается с доводами административного истца о неправильном определении органом регулирования объема отпуска тепловой энергии от источников тепловой энергии общества, что повлекло, помимо прочего, завышение его расходов на топливо на технологические цели.</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В соответствии с пунктом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DD5ABD" w:rsidRDefault="00DD5ABD" w:rsidP="00DD5ABD">
      <w:pPr>
        <w:ind w:firstLine="709"/>
        <w:jc w:val="both"/>
        <w:rPr>
          <w:rFonts w:eastAsia="Calibri"/>
          <w:kern w:val="0"/>
          <w:sz w:val="28"/>
          <w:szCs w:val="28"/>
        </w:rPr>
      </w:pPr>
      <w:r>
        <w:rPr>
          <w:kern w:val="0"/>
          <w:sz w:val="28"/>
          <w:szCs w:val="28"/>
        </w:rPr>
        <w:t>Согласно экспертному заключению при наличии сведений о принятии органом местного самоуправления нормативного правового акта об утверждении</w:t>
      </w:r>
      <w:r>
        <w:rPr>
          <w:rFonts w:eastAsia="Calibri"/>
          <w:kern w:val="0"/>
          <w:sz w:val="28"/>
          <w:szCs w:val="28"/>
        </w:rPr>
        <w:t xml:space="preserve"> схемы теплоснабжения и ее актуализации на 2025 год, наличии в указанных документах информации об объемах полезного отпуска тепловой энергии в 2025 году от Казанской ТЭ-1, Казанской ТЭЦ-2, орган </w:t>
      </w:r>
      <w:r>
        <w:rPr>
          <w:rFonts w:eastAsia="Calibri"/>
          <w:kern w:val="0"/>
          <w:sz w:val="28"/>
          <w:szCs w:val="28"/>
        </w:rPr>
        <w:lastRenderedPageBreak/>
        <w:t xml:space="preserve">регулирования вопреки положениям пункта 22 Основ ценообразования, применил приведенный выше установленный в данной норме метод определения объема полезного отпуска тепловой энергии в соответствии с Методическими указаниями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чем нарушил требования законодательства о тарифном регулировании. </w:t>
      </w:r>
    </w:p>
    <w:p w:rsidR="00DD5ABD" w:rsidRDefault="00DD5ABD" w:rsidP="00DD5ABD">
      <w:pPr>
        <w:adjustRightInd w:val="0"/>
        <w:ind w:firstLine="709"/>
        <w:jc w:val="both"/>
        <w:rPr>
          <w:sz w:val="28"/>
          <w:szCs w:val="28"/>
        </w:rPr>
      </w:pPr>
      <w:r>
        <w:rPr>
          <w:sz w:val="28"/>
          <w:szCs w:val="28"/>
        </w:rPr>
        <w:t xml:space="preserve">Кроме того, объем потерь тепловой энергии общества с ограниченной ответственностью «Смежная сетевая компания «Интеграция» был учтен в размере меньшем, чем он установлен постановлением Госкомитета от 15 декабря 2021 года № 529-116/тэ-2021 для данной организации. </w:t>
      </w:r>
    </w:p>
    <w:p w:rsidR="00DD5ABD" w:rsidRDefault="00DD5ABD" w:rsidP="00DD5ABD">
      <w:pPr>
        <w:ind w:firstLine="709"/>
        <w:jc w:val="both"/>
        <w:rPr>
          <w:rFonts w:eastAsia="Calibri"/>
          <w:kern w:val="0"/>
          <w:sz w:val="28"/>
          <w:szCs w:val="28"/>
        </w:rPr>
      </w:pPr>
      <w:r>
        <w:rPr>
          <w:kern w:val="0"/>
          <w:sz w:val="28"/>
          <w:szCs w:val="28"/>
        </w:rPr>
        <w:t>Оценивая доводы административного истца, суд отмечает, что п</w:t>
      </w:r>
      <w:r>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46" w:history="1">
        <w:r>
          <w:rPr>
            <w:rStyle w:val="a3"/>
            <w:rFonts w:eastAsia="Calibri"/>
            <w:kern w:val="0"/>
            <w:sz w:val="28"/>
            <w:szCs w:val="28"/>
          </w:rPr>
          <w:t>часть 14 статьи 10</w:t>
        </w:r>
      </w:hyperlink>
      <w:r>
        <w:rPr>
          <w:rFonts w:eastAsia="Calibri"/>
          <w:kern w:val="0"/>
          <w:sz w:val="28"/>
          <w:szCs w:val="28"/>
        </w:rPr>
        <w:t xml:space="preserve"> Закона о теплоснабжении).</w:t>
      </w:r>
    </w:p>
    <w:p w:rsidR="00DD5ABD" w:rsidRDefault="00DD5ABD" w:rsidP="00DD5ABD">
      <w:pPr>
        <w:adjustRightInd w:val="0"/>
        <w:ind w:firstLine="709"/>
        <w:jc w:val="both"/>
        <w:rPr>
          <w:rFonts w:eastAsia="Calibri"/>
          <w:kern w:val="0"/>
          <w:sz w:val="28"/>
          <w:szCs w:val="28"/>
        </w:rPr>
      </w:pPr>
      <w:r>
        <w:rPr>
          <w:rFonts w:eastAsia="Calibri"/>
          <w:kern w:val="0"/>
          <w:sz w:val="28"/>
          <w:szCs w:val="28"/>
        </w:rPr>
        <w:t xml:space="preserve">Кроме того, в </w:t>
      </w:r>
      <w:hyperlink r:id="rId47" w:history="1">
        <w:r>
          <w:rPr>
            <w:rStyle w:val="a3"/>
            <w:rFonts w:eastAsia="Calibri"/>
            <w:kern w:val="0"/>
            <w:sz w:val="28"/>
            <w:szCs w:val="28"/>
          </w:rPr>
          <w:t>пункте 8</w:t>
        </w:r>
      </w:hyperlink>
      <w:r>
        <w:rPr>
          <w:rFonts w:eastAsia="Calibri"/>
          <w:kern w:val="0"/>
          <w:sz w:val="28"/>
          <w:szCs w:val="28"/>
        </w:rPr>
        <w:t xml:space="preserve"> постановления Правительства Российской Федерации от 22 октября 2012 года № 1075 предусмотрено, что установление цен (тарифов) в сфере теплоснабжения с учетом </w:t>
      </w:r>
      <w:hyperlink r:id="rId48" w:history="1">
        <w:r>
          <w:rPr>
            <w:rStyle w:val="a3"/>
            <w:rFonts w:eastAsia="Calibri"/>
            <w:kern w:val="0"/>
            <w:sz w:val="28"/>
            <w:szCs w:val="28"/>
          </w:rPr>
          <w:t>пунктов 48(1)</w:t>
        </w:r>
      </w:hyperlink>
      <w:r>
        <w:rPr>
          <w:rFonts w:eastAsia="Calibri"/>
          <w:kern w:val="0"/>
          <w:sz w:val="28"/>
          <w:szCs w:val="28"/>
        </w:rPr>
        <w:t xml:space="preserve"> и </w:t>
      </w:r>
      <w:hyperlink r:id="rId49" w:history="1">
        <w:r>
          <w:rPr>
            <w:rStyle w:val="a3"/>
            <w:rFonts w:eastAsia="Calibri"/>
            <w:kern w:val="0"/>
            <w:sz w:val="28"/>
            <w:szCs w:val="28"/>
          </w:rPr>
          <w:t>74(1)</w:t>
        </w:r>
      </w:hyperlink>
      <w:r>
        <w:rPr>
          <w:rFonts w:eastAsia="Calibri"/>
          <w:kern w:val="0"/>
          <w:sz w:val="28"/>
          <w:szCs w:val="28"/>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w:t>
      </w:r>
      <w:hyperlink r:id="rId50" w:history="1">
        <w:r>
          <w:rPr>
            <w:rStyle w:val="a3"/>
            <w:rFonts w:eastAsia="Calibri"/>
            <w:kern w:val="0"/>
            <w:sz w:val="28"/>
            <w:szCs w:val="28"/>
          </w:rPr>
          <w:t>Основами</w:t>
        </w:r>
      </w:hyperlink>
      <w:r>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w:t>
      </w:r>
    </w:p>
    <w:p w:rsidR="00DD5ABD" w:rsidRDefault="00DD5ABD" w:rsidP="00DD5ABD">
      <w:pPr>
        <w:ind w:firstLine="709"/>
        <w:jc w:val="both"/>
        <w:rPr>
          <w:kern w:val="0"/>
          <w:sz w:val="28"/>
          <w:szCs w:val="28"/>
        </w:rPr>
      </w:pPr>
      <w:r>
        <w:rPr>
          <w:kern w:val="0"/>
          <w:sz w:val="28"/>
          <w:szCs w:val="28"/>
        </w:rPr>
        <w:t xml:space="preserve">Учитывая вышеприведенные обстоятельства в совокупности, суд приходит к выводу о том, что оспариваемые постановления Госкомитета </w:t>
      </w:r>
      <w:r>
        <w:rPr>
          <w:sz w:val="28"/>
          <w:szCs w:val="28"/>
        </w:rPr>
        <w:t xml:space="preserve">от 15 декабря 2023 года № 724-80/тэ-2023, от 20 декабря 2024 года № 730-117/тэ-2024 </w:t>
      </w:r>
      <w:r>
        <w:rPr>
          <w:kern w:val="0"/>
          <w:sz w:val="28"/>
          <w:szCs w:val="28"/>
        </w:rPr>
        <w:t>не соответствуют нормативным правовым актам, имеющим большую юридическую силу, а также нарушают права и законные интересы административного истца.</w:t>
      </w:r>
    </w:p>
    <w:p w:rsidR="00DD5ABD" w:rsidRDefault="00DD5ABD" w:rsidP="00DD5ABD">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w:t>
      </w:r>
      <w:r>
        <w:lastRenderedPageBreak/>
        <w:t>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DD5ABD" w:rsidRDefault="00DD5ABD" w:rsidP="00DD5ABD">
      <w:pPr>
        <w:pStyle w:val="ConsPlusNormal"/>
        <w:ind w:firstLine="709"/>
        <w:jc w:val="both"/>
      </w:pPr>
      <w:r>
        <w:t xml:space="preserve">Поскольку оспариваемые нормативные правовые акты имеют ограниченный срок действия, признание отдельных их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51" w:history="1">
        <w:r>
          <w:rPr>
            <w:rStyle w:val="a3"/>
          </w:rPr>
          <w:t>статьей 3</w:t>
        </w:r>
      </w:hyperlink>
      <w:r>
        <w:t xml:space="preserve"> Кодекса административного судопроизводства Российской Федерации, поэтому суд полагает необходимым признать их недействующими со дня принятия.</w:t>
      </w:r>
    </w:p>
    <w:p w:rsidR="00DD5ABD" w:rsidRDefault="00DD5ABD" w:rsidP="00DD5ABD">
      <w:pPr>
        <w:adjustRightInd w:val="0"/>
        <w:ind w:firstLine="709"/>
        <w:jc w:val="both"/>
        <w:rPr>
          <w:kern w:val="0"/>
          <w:sz w:val="28"/>
          <w:szCs w:val="28"/>
        </w:rPr>
      </w:pPr>
      <w:r>
        <w:rPr>
          <w:kern w:val="0"/>
          <w:sz w:val="28"/>
          <w:szCs w:val="28"/>
        </w:rPr>
        <w:t xml:space="preserve">Принимая во внимание, что в связи с признанием постановлений Госкомитета </w:t>
      </w:r>
      <w:r>
        <w:rPr>
          <w:sz w:val="28"/>
          <w:szCs w:val="28"/>
        </w:rPr>
        <w:t xml:space="preserve">от 15 декабря 2023 года № 724-80/тэ-2023, от 20 декабря 2024 года № 730-117/тэ-2024 </w:t>
      </w:r>
      <w:r>
        <w:rPr>
          <w:kern w:val="0"/>
          <w:sz w:val="28"/>
          <w:szCs w:val="28"/>
        </w:rPr>
        <w:t>недействующими наступит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t xml:space="preserve"> </w:t>
      </w:r>
      <w:r>
        <w:rPr>
          <w:sz w:val="28"/>
          <w:szCs w:val="28"/>
        </w:rPr>
        <w:t>Кодекса административного судопроизводства Российской Федерации,</w:t>
      </w:r>
      <w:r>
        <w:rPr>
          <w:kern w:val="0"/>
          <w:sz w:val="28"/>
          <w:szCs w:val="28"/>
        </w:rPr>
        <w:t xml:space="preserve"> 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 </w:t>
      </w:r>
    </w:p>
    <w:p w:rsidR="00DD5ABD" w:rsidRDefault="00DD5ABD" w:rsidP="00DD5ABD">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DD5ABD" w:rsidRDefault="00DD5ABD" w:rsidP="00DD5ABD">
      <w:pPr>
        <w:jc w:val="center"/>
        <w:rPr>
          <w:sz w:val="28"/>
        </w:rPr>
      </w:pPr>
    </w:p>
    <w:p w:rsidR="00DD5ABD" w:rsidRDefault="00DD5ABD" w:rsidP="00DD5ABD">
      <w:pPr>
        <w:jc w:val="center"/>
        <w:rPr>
          <w:sz w:val="28"/>
        </w:rPr>
      </w:pPr>
      <w:r>
        <w:rPr>
          <w:sz w:val="28"/>
        </w:rPr>
        <w:t>Р Е Ш И Л:</w:t>
      </w:r>
    </w:p>
    <w:p w:rsidR="00DD5ABD" w:rsidRDefault="00DD5ABD" w:rsidP="00DD5ABD">
      <w:pPr>
        <w:jc w:val="center"/>
        <w:rPr>
          <w:sz w:val="28"/>
        </w:rPr>
      </w:pPr>
    </w:p>
    <w:p w:rsidR="00DD5ABD" w:rsidRDefault="00DD5ABD" w:rsidP="00DD5ABD">
      <w:pPr>
        <w:pStyle w:val="a6"/>
        <w:rPr>
          <w:sz w:val="28"/>
          <w:szCs w:val="28"/>
        </w:rPr>
      </w:pPr>
      <w:r>
        <w:rPr>
          <w:sz w:val="28"/>
          <w:szCs w:val="28"/>
        </w:rPr>
        <w:t>административное исковое заявление акционерного общества «Татэнерго» удовлетворить.</w:t>
      </w:r>
    </w:p>
    <w:p w:rsidR="00DD5ABD" w:rsidRDefault="00DD5ABD" w:rsidP="00DD5ABD">
      <w:pPr>
        <w:pStyle w:val="a6"/>
        <w:rPr>
          <w:kern w:val="0"/>
          <w:sz w:val="28"/>
          <w:szCs w:val="28"/>
        </w:rPr>
      </w:pPr>
      <w:r>
        <w:rPr>
          <w:sz w:val="28"/>
          <w:szCs w:val="28"/>
        </w:rPr>
        <w:t xml:space="preserve">Признать недействующими </w:t>
      </w:r>
      <w:r>
        <w:rPr>
          <w:kern w:val="0"/>
          <w:sz w:val="28"/>
          <w:szCs w:val="28"/>
        </w:rPr>
        <w:t xml:space="preserve">со дня принятия </w:t>
      </w:r>
    </w:p>
    <w:p w:rsidR="00DD5ABD" w:rsidRDefault="00DD5ABD" w:rsidP="00DD5ABD">
      <w:pPr>
        <w:pStyle w:val="a6"/>
        <w:rPr>
          <w:sz w:val="28"/>
          <w:szCs w:val="28"/>
        </w:rPr>
      </w:pPr>
      <w:r>
        <w:rPr>
          <w:sz w:val="28"/>
          <w:szCs w:val="28"/>
        </w:rPr>
        <w:t>постановление Государственного комитета Республики Татарстан по тарифам от 15 декабря 2023 года № 724-80/тэ-2023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Казани, на 2024-2028 годы»,</w:t>
      </w:r>
    </w:p>
    <w:p w:rsidR="00DD5ABD" w:rsidRDefault="00DD5ABD" w:rsidP="00DD5ABD">
      <w:pPr>
        <w:pStyle w:val="a6"/>
        <w:rPr>
          <w:sz w:val="28"/>
        </w:rPr>
      </w:pPr>
      <w:r>
        <w:rPr>
          <w:sz w:val="28"/>
          <w:szCs w:val="28"/>
        </w:rPr>
        <w:t>постановление Государственного комитета Республики Татарстан по тарифам от 20 декабря 2024 года № 730-117/тэ-2024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Казани, установленных постановлением Государственного комитета Республики Татарстан по тарифам от 15 декабря 2023 года № 724-80/тэ-2023.</w:t>
      </w:r>
    </w:p>
    <w:p w:rsidR="00DD5ABD" w:rsidRDefault="00DD5ABD" w:rsidP="00DD5ABD">
      <w:pPr>
        <w:adjustRightInd w:val="0"/>
        <w:ind w:firstLine="709"/>
        <w:jc w:val="both"/>
        <w:rPr>
          <w:sz w:val="28"/>
          <w:szCs w:val="28"/>
        </w:rPr>
      </w:pPr>
      <w:r>
        <w:rPr>
          <w:sz w:val="28"/>
          <w:szCs w:val="28"/>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новые нормативные правовые акты </w:t>
      </w:r>
    </w:p>
    <w:p w:rsidR="00DD5ABD" w:rsidRDefault="00DD5ABD" w:rsidP="00DD5ABD">
      <w:pPr>
        <w:pStyle w:val="a6"/>
        <w:rPr>
          <w:sz w:val="28"/>
          <w:szCs w:val="28"/>
        </w:rPr>
      </w:pPr>
      <w:r>
        <w:rPr>
          <w:sz w:val="28"/>
          <w:szCs w:val="28"/>
        </w:rPr>
        <w:lastRenderedPageBreak/>
        <w:t>об установлении тарифов на тепловую энергию, поставляемую Акционерным обществом «Татэнерго» потребителям, другим теплоснабжающим организациям города Казани, на 2024-2028 годы,</w:t>
      </w:r>
    </w:p>
    <w:p w:rsidR="00DD5ABD" w:rsidRDefault="00DD5ABD" w:rsidP="00DD5ABD">
      <w:pPr>
        <w:adjustRightInd w:val="0"/>
        <w:ind w:firstLine="709"/>
        <w:jc w:val="both"/>
        <w:rPr>
          <w:sz w:val="28"/>
          <w:szCs w:val="28"/>
        </w:rPr>
      </w:pPr>
      <w:r>
        <w:rPr>
          <w:sz w:val="28"/>
          <w:szCs w:val="28"/>
        </w:rPr>
        <w:t>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Казани.</w:t>
      </w:r>
    </w:p>
    <w:p w:rsidR="00DD5ABD" w:rsidRDefault="00DD5ABD" w:rsidP="00DD5ABD">
      <w:pPr>
        <w:pStyle w:val="a6"/>
        <w:rPr>
          <w:sz w:val="28"/>
          <w:szCs w:val="28"/>
        </w:rPr>
      </w:pPr>
      <w:r>
        <w:rPr>
          <w:sz w:val="28"/>
          <w:szCs w:val="28"/>
        </w:rPr>
        <w:t>Взыскать с Государственного комитета Республики Татарстан по тарифам в пользу акционерного общества «Татэнерго» в возврат уплаченной государственной пошлины 40 000 рублей.</w:t>
      </w:r>
    </w:p>
    <w:p w:rsidR="00DD5ABD" w:rsidRDefault="00DD5ABD" w:rsidP="00DD5ABD">
      <w:pPr>
        <w:pStyle w:val="a6"/>
        <w:rPr>
          <w:sz w:val="28"/>
          <w:szCs w:val="28"/>
        </w:rPr>
      </w:pPr>
      <w:r>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DD5ABD" w:rsidRDefault="00DD5ABD" w:rsidP="00DD5ABD">
      <w:pPr>
        <w:pStyle w:val="a4"/>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DD5ABD" w:rsidRDefault="00DD5ABD" w:rsidP="00DD5ABD">
      <w:pPr>
        <w:pStyle w:val="a4"/>
        <w:rPr>
          <w:sz w:val="28"/>
          <w:szCs w:val="28"/>
        </w:rPr>
      </w:pPr>
    </w:p>
    <w:p w:rsidR="00DD5ABD" w:rsidRDefault="00DD5ABD" w:rsidP="00DD5ABD">
      <w:pPr>
        <w:pStyle w:val="2"/>
        <w:rPr>
          <w:szCs w:val="28"/>
        </w:rPr>
      </w:pPr>
      <w:r>
        <w:rPr>
          <w:szCs w:val="28"/>
        </w:rPr>
        <w:t xml:space="preserve">Судья                                                                          Э.С. Каминский </w:t>
      </w:r>
    </w:p>
    <w:p w:rsidR="00DD5ABD" w:rsidRDefault="00DD5ABD" w:rsidP="00DD5ABD">
      <w:pPr>
        <w:rPr>
          <w:sz w:val="28"/>
          <w:szCs w:val="28"/>
        </w:rPr>
      </w:pPr>
    </w:p>
    <w:p w:rsidR="00DD5ABD" w:rsidRDefault="00DD5ABD" w:rsidP="00DD5ABD">
      <w:pPr>
        <w:rPr>
          <w:sz w:val="28"/>
          <w:szCs w:val="28"/>
        </w:rPr>
      </w:pPr>
    </w:p>
    <w:p w:rsidR="00DD5ABD" w:rsidRDefault="00DD5ABD" w:rsidP="00DD5ABD">
      <w:pPr>
        <w:rPr>
          <w:kern w:val="0"/>
          <w:sz w:val="28"/>
          <w:szCs w:val="28"/>
        </w:rPr>
      </w:pPr>
      <w:r>
        <w:rPr>
          <w:kern w:val="0"/>
          <w:sz w:val="28"/>
          <w:szCs w:val="28"/>
        </w:rPr>
        <w:t>Справка: решение принято судом в окончательной форме 11 июня 2025 года.</w:t>
      </w:r>
    </w:p>
    <w:p w:rsidR="00DD5ABD" w:rsidRDefault="00DD5ABD" w:rsidP="00DD5ABD">
      <w:pPr>
        <w:rPr>
          <w:sz w:val="28"/>
          <w:szCs w:val="28"/>
        </w:rPr>
      </w:pPr>
    </w:p>
    <w:p w:rsidR="00DD5ABD" w:rsidRDefault="00DD5ABD" w:rsidP="00DD5ABD">
      <w:pPr>
        <w:rPr>
          <w:sz w:val="28"/>
          <w:szCs w:val="28"/>
        </w:rPr>
      </w:pPr>
    </w:p>
    <w:p w:rsidR="00DD5ABD" w:rsidRDefault="00DD5ABD" w:rsidP="00DD5ABD">
      <w:pPr>
        <w:jc w:val="both"/>
      </w:pPr>
      <w:r>
        <w:rPr>
          <w:sz w:val="28"/>
          <w:szCs w:val="28"/>
        </w:rPr>
        <w:t>Судья                                                                          Э.С. Каминский</w:t>
      </w:r>
    </w:p>
    <w:p w:rsidR="00DD5ABD" w:rsidRDefault="00DD5ABD" w:rsidP="00DD5ABD"/>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9C3C1D"/>
    <w:rsid w:val="00005E6F"/>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C3C1D"/>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D5ABD"/>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C76DA-9C3C-4F70-9A7F-5884A936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ABD"/>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DD5ABD"/>
    <w:pPr>
      <w:keepNext/>
      <w:jc w:val="right"/>
      <w:outlineLvl w:val="0"/>
    </w:pPr>
    <w:rPr>
      <w:sz w:val="24"/>
    </w:rPr>
  </w:style>
  <w:style w:type="paragraph" w:styleId="2">
    <w:name w:val="heading 2"/>
    <w:basedOn w:val="a"/>
    <w:next w:val="a"/>
    <w:link w:val="20"/>
    <w:semiHidden/>
    <w:unhideWhenUsed/>
    <w:qFormat/>
    <w:rsid w:val="00DD5ABD"/>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5ABD"/>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DD5ABD"/>
    <w:rPr>
      <w:rFonts w:ascii="Times New Roman" w:eastAsia="Times New Roman" w:hAnsi="Times New Roman" w:cs="Times New Roman"/>
      <w:kern w:val="28"/>
      <w:sz w:val="28"/>
      <w:szCs w:val="24"/>
      <w:lang w:eastAsia="ru-RU"/>
    </w:rPr>
  </w:style>
  <w:style w:type="character" w:styleId="a3">
    <w:name w:val="Hyperlink"/>
    <w:basedOn w:val="a0"/>
    <w:uiPriority w:val="99"/>
    <w:semiHidden/>
    <w:unhideWhenUsed/>
    <w:rsid w:val="00DD5ABD"/>
    <w:rPr>
      <w:color w:val="0000FF" w:themeColor="hyperlink"/>
      <w:u w:val="single"/>
    </w:rPr>
  </w:style>
  <w:style w:type="paragraph" w:styleId="a4">
    <w:name w:val="Body Text"/>
    <w:basedOn w:val="a"/>
    <w:link w:val="a5"/>
    <w:semiHidden/>
    <w:unhideWhenUsed/>
    <w:rsid w:val="00DD5ABD"/>
    <w:pPr>
      <w:jc w:val="both"/>
    </w:pPr>
  </w:style>
  <w:style w:type="character" w:customStyle="1" w:styleId="a5">
    <w:name w:val="Основной текст Знак"/>
    <w:basedOn w:val="a0"/>
    <w:link w:val="a4"/>
    <w:semiHidden/>
    <w:rsid w:val="00DD5ABD"/>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DD5ABD"/>
    <w:pPr>
      <w:ind w:firstLine="720"/>
      <w:jc w:val="both"/>
    </w:pPr>
  </w:style>
  <w:style w:type="character" w:customStyle="1" w:styleId="a7">
    <w:name w:val="Основной текст с отступом Знак"/>
    <w:basedOn w:val="a0"/>
    <w:link w:val="a6"/>
    <w:semiHidden/>
    <w:rsid w:val="00DD5ABD"/>
    <w:rPr>
      <w:rFonts w:ascii="Times New Roman" w:eastAsia="Times New Roman" w:hAnsi="Times New Roman" w:cs="Times New Roman"/>
      <w:kern w:val="28"/>
      <w:sz w:val="20"/>
      <w:szCs w:val="24"/>
      <w:lang w:eastAsia="ru-RU"/>
    </w:rPr>
  </w:style>
  <w:style w:type="paragraph" w:customStyle="1" w:styleId="ConsPlusNormal">
    <w:name w:val="ConsPlusNormal"/>
    <w:rsid w:val="00DD5AB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8">
    <w:name w:val="Основной текст_"/>
    <w:link w:val="11"/>
    <w:locked/>
    <w:rsid w:val="00DD5ABD"/>
    <w:rPr>
      <w:sz w:val="26"/>
      <w:szCs w:val="26"/>
      <w:shd w:val="clear" w:color="auto" w:fill="FFFFFF"/>
    </w:rPr>
  </w:style>
  <w:style w:type="paragraph" w:customStyle="1" w:styleId="11">
    <w:name w:val="Основной текст1"/>
    <w:basedOn w:val="a"/>
    <w:link w:val="a8"/>
    <w:rsid w:val="00DD5ABD"/>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2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48692B31B583D530FBE10A34C63DE9808A4937D9E98A12725252BD15iFdFI" TargetMode="External"/><Relationship Id="rId18" Type="http://schemas.openxmlformats.org/officeDocument/2006/relationships/hyperlink" Target="https://login.consultant.ru/link/?req=doc&amp;base=LAW&amp;n=504212&amp;dst=319" TargetMode="External"/><Relationship Id="rId26" Type="http://schemas.openxmlformats.org/officeDocument/2006/relationships/hyperlink" Target="consultantplus://offline/ref=77255D58529810C30E29198506A50984A2CA1D5388C5D5DEBAAB4283762A268E227D63EF96F2EFA81D9E91277D555D6297122621A3DF0882B5bAJ" TargetMode="External"/><Relationship Id="rId39" Type="http://schemas.openxmlformats.org/officeDocument/2006/relationships/hyperlink" Target="https://login.consultant.ru/link/?req=doc&amp;base=LAW&amp;n=280991&amp;dst=1000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4212&amp;dst=100245" TargetMode="External"/><Relationship Id="rId34" Type="http://schemas.openxmlformats.org/officeDocument/2006/relationships/image" Target="media/image4.wmf"/><Relationship Id="rId42" Type="http://schemas.openxmlformats.org/officeDocument/2006/relationships/hyperlink" Target="https://login.consultant.ru/link/?req=doc&amp;base=LAW&amp;n=302112&amp;dst=100496" TargetMode="External"/><Relationship Id="rId47" Type="http://schemas.openxmlformats.org/officeDocument/2006/relationships/hyperlink" Target="https://login.consultant.ru/link/?req=doc&amp;base=LAW&amp;n=302112&amp;dst=25" TargetMode="External"/><Relationship Id="rId50" Type="http://schemas.openxmlformats.org/officeDocument/2006/relationships/hyperlink" Target="https://login.consultant.ru/link/?req=doc&amp;base=LAW&amp;n=277906&amp;dst=100011" TargetMode="External"/><Relationship Id="rId7" Type="http://schemas.openxmlformats.org/officeDocument/2006/relationships/hyperlink" Target="consultantplus://offline/ref=3B823B67044EED15A854386EBA6CE8B791BE7FC2294EB8D5DCBCEF2FB9FBFF3C462AF92E6711670A29B9CFAB1422F21BD1DC34EDB6B21A4172J8K" TargetMode="External"/><Relationship Id="rId12" Type="http://schemas.openxmlformats.org/officeDocument/2006/relationships/hyperlink" Target="consultantplus://offline/ref=AF48692B31B583D530FBE10A34C63DE9808A4937D9E98A12725252BD15iFdFI" TargetMode="External"/><Relationship Id="rId17" Type="http://schemas.openxmlformats.org/officeDocument/2006/relationships/hyperlink" Target="consultantplus://offline/ref=2935AA1B3C93D4C7F95A3B8E4C37B28AE20992FA93C86EEC9D369712F170E3D52D6504B65E5FF7B36E1FDB9B615CEBEC0C0E78C244018A87uBkFI" TargetMode="External"/><Relationship Id="rId25" Type="http://schemas.openxmlformats.org/officeDocument/2006/relationships/hyperlink" Target="consultantplus://offline/ref=77255D58529810C30E29198506A50984A2C81B5686C7D5DEBAAB4283762A268E227D63EF96F2E9A81A9E91277D555D6297122621A3DF0882B5bAJ" TargetMode="External"/><Relationship Id="rId33" Type="http://schemas.openxmlformats.org/officeDocument/2006/relationships/image" Target="media/image3.wmf"/><Relationship Id="rId38" Type="http://schemas.openxmlformats.org/officeDocument/2006/relationships/hyperlink" Target="https://login.consultant.ru/link/?req=doc&amp;base=LAW&amp;n=302112&amp;dst=100277" TargetMode="External"/><Relationship Id="rId46" Type="http://schemas.openxmlformats.org/officeDocument/2006/relationships/hyperlink" Target="https://login.consultant.ru/link/?req=doc&amp;base=LAW&amp;n=302970&amp;dst=100189"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2691FDB9B615CEBEC0C0E78C244018A87uBkFI" TargetMode="External"/><Relationship Id="rId20" Type="http://schemas.openxmlformats.org/officeDocument/2006/relationships/image" Target="media/image2.wmf"/><Relationship Id="rId29" Type="http://schemas.openxmlformats.org/officeDocument/2006/relationships/hyperlink" Target="https://login.consultant.ru/link/?req=doc&amp;base=LAW&amp;n=302112&amp;dst=100935" TargetMode="External"/><Relationship Id="rId41" Type="http://schemas.openxmlformats.org/officeDocument/2006/relationships/hyperlink" Target="https://login.consultant.ru/link/?req=doc&amp;base=LAW&amp;n=302112&amp;dst=100496" TargetMode="External"/><Relationship Id="rId1" Type="http://schemas.openxmlformats.org/officeDocument/2006/relationships/styles" Target="styles.xml"/><Relationship Id="rId6" Type="http://schemas.openxmlformats.org/officeDocument/2006/relationships/hyperlink" Target="consultantplus://offline/ref=694C0C1B857021786AF5A65C3A0C45569017F07E15E8F7571FB2204145V6y8N" TargetMode="External"/><Relationship Id="rId11" Type="http://schemas.openxmlformats.org/officeDocument/2006/relationships/hyperlink" Target="consultantplus://offline/ref=4567F1CE879644266D20E73576B63ABBCDB82EE0C96D74BE0BE04939C8C7o9J" TargetMode="External"/><Relationship Id="rId24" Type="http://schemas.openxmlformats.org/officeDocument/2006/relationships/hyperlink" Target="https://login.consultant.ru/link/?req=doc&amp;base=LAW&amp;n=431832&amp;dst=378" TargetMode="External"/><Relationship Id="rId32" Type="http://schemas.openxmlformats.org/officeDocument/2006/relationships/hyperlink" Target="file:///\\10.116.251.19\&#1086;&#1073;&#1097;&#1072;&#1103;_&#1087;&#1072;&#1087;&#1082;&#1072;\&#1055;&#1086;&#1084;&#1086;&#1097;&#1085;&#1080;&#1082;&#1080;%20&#1088;&#1091;&#1082;&#1086;&#1074;&#1086;&#1076;&#1089;&#1090;&#1074;&#1072;\&#1060;&#1072;&#1079;&#1083;&#1091;&#1090;&#1076;&#1080;&#1085;&#1086;&#1074;&#1072;_&#1040;&#1040;\&#1054;&#1041;&#1045;&#1047;&#1051;&#1048;&#1063;&#1048;&#1042;&#1040;&#1053;&#1048;&#1045;\&#1088;&#1077;&#1096;&#1077;&#1085;&#1080;&#1077;%203-491-2025-%20&#1058;&#1072;&#1090;&#1101;&#1085;&#1077;&#1088;&#1075;&#1086;-&#1090;&#1072;&#1088;&#1080;&#1092;&#1099;-%20&#1090;&#1077;&#1087;&#1083;&#1086;.doc" TargetMode="External"/><Relationship Id="rId37" Type="http://schemas.openxmlformats.org/officeDocument/2006/relationships/hyperlink" Target="https://login.consultant.ru/link/?req=doc&amp;base=LAW&amp;n=302112&amp;dst=100247" TargetMode="External"/><Relationship Id="rId40" Type="http://schemas.openxmlformats.org/officeDocument/2006/relationships/hyperlink" Target="https://login.consultant.ru/link/?req=doc&amp;base=LAW&amp;n=304194" TargetMode="External"/><Relationship Id="rId45" Type="http://schemas.openxmlformats.org/officeDocument/2006/relationships/hyperlink" Target="https://login.consultant.ru/link/?req=doc&amp;base=LAW&amp;n=302112&amp;dst=56" TargetMode="External"/><Relationship Id="rId53"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consultantplus://offline/ref=2935AA1B3C93D4C7F95A3B8E4C37B28AE20992FA93C86EEC9D369712F170E3D52D6504B65E5FF7B26B1FDB9B615CEBEC0C0E78C244018A87uBkFI" TargetMode="External"/><Relationship Id="rId23" Type="http://schemas.openxmlformats.org/officeDocument/2006/relationships/hyperlink" Target="https://login.consultant.ru/link/?req=doc&amp;base=LAW&amp;n=504212&amp;dst=319" TargetMode="External"/><Relationship Id="rId28" Type="http://schemas.openxmlformats.org/officeDocument/2006/relationships/hyperlink" Target="consultantplus://offline/ref=EAB5E41E7321A9703A9E6BFD6FBBDC0F9CF5CAE882CEC6399C9717520EB32896CE6C807E133B3CC20300A9303DC2D7733322942FCEDCsAE" TargetMode="External"/><Relationship Id="rId36" Type="http://schemas.openxmlformats.org/officeDocument/2006/relationships/hyperlink" Target="https://login.consultant.ru/link/?req=doc&amp;base=LAW&amp;n=483130" TargetMode="External"/><Relationship Id="rId49" Type="http://schemas.openxmlformats.org/officeDocument/2006/relationships/hyperlink" Target="https://login.consultant.ru/link/?req=doc&amp;base=LAW&amp;n=302112&amp;dst=59" TargetMode="External"/><Relationship Id="rId10" Type="http://schemas.openxmlformats.org/officeDocument/2006/relationships/hyperlink" Target="consultantplus://offline/ref=A43B6A0C3B548AD773F7AE04D8E3F8D0F84C30A045125F07199AD8610DF4129EDF3A5A1A7BE2CBE7A4D606628A0880C4FC054DD5A535E7FFd4H2K" TargetMode="External"/><Relationship Id="rId19" Type="http://schemas.openxmlformats.org/officeDocument/2006/relationships/hyperlink" Target="https://login.consultant.ru/link/?req=doc&amp;base=LAW&amp;n=504212&amp;dst=100399" TargetMode="External"/><Relationship Id="rId31" Type="http://schemas.openxmlformats.org/officeDocument/2006/relationships/hyperlink" Target="https://login.consultant.ru/link/?req=doc&amp;base=LAW&amp;n=302112&amp;dst=100937" TargetMode="External"/><Relationship Id="rId44" Type="http://schemas.openxmlformats.org/officeDocument/2006/relationships/hyperlink" Target="https://login.consultant.ru/link/?req=doc&amp;base=LAW&amp;n=493666&amp;dst=100277"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A43B6A0C3B548AD773F7AE04D8E3F8D0F84C30A045125F07199AD8610DF4129EDF3A5A1A7BE2C8EDADD606628A0880C4FC054DD5A535E7FFd4H2K" TargetMode="External"/><Relationship Id="rId14" Type="http://schemas.openxmlformats.org/officeDocument/2006/relationships/hyperlink" Target="consultantplus://offline/ref=2935AA1B3C93D4C7F95A3B8E4C37B28AE20992FA93C86EEC9D369712F170E3D52D6504B65E5FF7B1671FDB9B615CEBEC0C0E78C244018A87uBkFI" TargetMode="External"/><Relationship Id="rId22" Type="http://schemas.openxmlformats.org/officeDocument/2006/relationships/hyperlink" Target="https://login.consultant.ru/link/?req=doc&amp;base=LAW&amp;n=485294&amp;dst=100015" TargetMode="External"/><Relationship Id="rId27" Type="http://schemas.openxmlformats.org/officeDocument/2006/relationships/hyperlink" Target="consultantplus://offline/ref=AF48692B31B583D530FBE10A34C63DE9808A4937D9E98A12725252BD15iFdFI" TargetMode="External"/><Relationship Id="rId30" Type="http://schemas.openxmlformats.org/officeDocument/2006/relationships/hyperlink" Target="https://login.consultant.ru/link/?req=doc&amp;base=LAW&amp;n=475532&amp;dst=101834" TargetMode="External"/><Relationship Id="rId35" Type="http://schemas.openxmlformats.org/officeDocument/2006/relationships/hyperlink" Target="https://login.consultant.ru/link/?req=doc&amp;base=LAW&amp;n=504212&amp;dst=100955" TargetMode="External"/><Relationship Id="rId43" Type="http://schemas.openxmlformats.org/officeDocument/2006/relationships/hyperlink" Target="https://login.consultant.ru/link/?req=doc&amp;base=LAW&amp;n=302112&amp;dst=100033" TargetMode="External"/><Relationship Id="rId48" Type="http://schemas.openxmlformats.org/officeDocument/2006/relationships/hyperlink" Target="https://login.consultant.ru/link/?req=doc&amp;base=LAW&amp;n=302112&amp;dst=28" TargetMode="External"/><Relationship Id="rId8" Type="http://schemas.openxmlformats.org/officeDocument/2006/relationships/hyperlink" Target="consultantplus://offline/ref=694C0C1B857021786AF5A65C3A0C45569017F07E15E8F7571FB2204145V6y8N" TargetMode="External"/><Relationship Id="rId51" Type="http://schemas.openxmlformats.org/officeDocument/2006/relationships/hyperlink" Target="consultantplus://offline/ref=45BAE80B6225D18B4BA20F4FA66774E05F518A40A68158D1612090418EC00F9911CD6683611DFBFC292B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18</Pages>
  <Words>7621</Words>
  <Characters>43442</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2025-11-24T09:44:00Z</dcterms:created>
  <dcterms:modified xsi:type="dcterms:W3CDTF">2025-11-24T09:44:00Z</dcterms:modified>
</cp:coreProperties>
</file>