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90DE9" w:rsidRPr="00790DE9" w:rsidRDefault="00790DE9" w:rsidP="00790DE9">
      <w:pPr>
        <w:keepNext/>
        <w:autoSpaceDE w:val="0"/>
        <w:autoSpaceDN w:val="0"/>
        <w:spacing w:after="0" w:line="240" w:lineRule="auto"/>
        <w:jc w:val="center"/>
        <w:outlineLvl w:val="0"/>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4"/>
          <w:szCs w:val="24"/>
          <w:lang w:eastAsia="ru-RU"/>
        </w:rP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6" o:title=""/>
          </v:shape>
          <o:OLEObject Type="Embed" ProgID="PBrush" ShapeID="_x0000_i1025" DrawAspect="Content" ObjectID="_1825493461" r:id="rId7"/>
        </w:object>
      </w:r>
    </w:p>
    <w:p w:rsidR="00790DE9" w:rsidRPr="00790DE9" w:rsidRDefault="00790DE9" w:rsidP="00790DE9">
      <w:pPr>
        <w:keepNext/>
        <w:autoSpaceDE w:val="0"/>
        <w:autoSpaceDN w:val="0"/>
        <w:spacing w:after="0" w:line="240" w:lineRule="auto"/>
        <w:jc w:val="right"/>
        <w:outlineLvl w:val="0"/>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дело № 3а-488/2025</w:t>
      </w:r>
    </w:p>
    <w:p w:rsidR="00790DE9" w:rsidRPr="00790DE9" w:rsidRDefault="00790DE9" w:rsidP="00790DE9">
      <w:pPr>
        <w:autoSpaceDE w:val="0"/>
        <w:autoSpaceDN w:val="0"/>
        <w:spacing w:after="0" w:line="240" w:lineRule="auto"/>
        <w:jc w:val="right"/>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16OS0000-01-2025-000137-39</w:t>
      </w:r>
    </w:p>
    <w:p w:rsidR="00790DE9" w:rsidRPr="00790DE9" w:rsidRDefault="00790DE9" w:rsidP="00790DE9">
      <w:pPr>
        <w:autoSpaceDE w:val="0"/>
        <w:autoSpaceDN w:val="0"/>
        <w:spacing w:after="0" w:line="240" w:lineRule="auto"/>
        <w:jc w:val="right"/>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РЕШЕНИЕ</w:t>
      </w: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 xml:space="preserve">ИМЕНЕМ РОССИЙСКОЙ ФЕДЕРАЦИИ </w:t>
      </w: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город Казань</w:t>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r>
      <w:r w:rsidRPr="00790DE9">
        <w:rPr>
          <w:rFonts w:ascii="Times New Roman" w:eastAsia="Times New Roman" w:hAnsi="Times New Roman" w:cs="Times New Roman"/>
          <w:kern w:val="28"/>
          <w:sz w:val="28"/>
          <w:szCs w:val="24"/>
          <w:lang w:eastAsia="ru-RU"/>
        </w:rPr>
        <w:tab/>
        <w:t xml:space="preserve">           13 мая 2025 года </w:t>
      </w: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при секретаре – помощнике судьи Фазлутдиновой А.А.,</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с участием прокурора прокуратуры Республики Татарстан Золина И.А.,</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4"/>
          <w:lang w:eastAsia="ru-RU"/>
        </w:rPr>
        <w:t xml:space="preserve">рассмотрев в открытом судебном заседании административное дело по </w:t>
      </w:r>
      <w:r w:rsidRPr="00790DE9">
        <w:rPr>
          <w:rFonts w:ascii="Times New Roman" w:eastAsia="Times New Roman" w:hAnsi="Times New Roman" w:cs="Times New Roman"/>
          <w:kern w:val="28"/>
          <w:sz w:val="28"/>
          <w:szCs w:val="28"/>
          <w:lang w:eastAsia="ru-RU"/>
        </w:rPr>
        <w:t>административному исковому заявлению акционерного общества «Татэнерго» к Государственному комитету Республики Татарстан по тарифам о признании не действующими в части постановлений от 15 декабря 2023 года № 725-81/тэ-2023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«Татэнерго» - Казанская ТЭЦ-1, Казанская ТЭЦ-2 г. Казани с установленной генерирующей мощностью производства электрической энергии 25 мегаватт и более на коллекторах источников тепловой энергии, на 2024-2028 годы», от 20 декабря 2024 года № 733-120/тэ-2024  «О корректировке на 2025 год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«Татэнерго» - Казанская ТЭЦ-1, Казанская ТЭЦ-2 г. Казани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15 декабря 2023 года № 725-81/тэ-2023», возложении обязанности принять новый нормативный правовой акт,</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УСТАНОВИЛ:</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Постановлением Г</w:t>
      </w:r>
      <w:r w:rsidRPr="00790DE9">
        <w:rPr>
          <w:rFonts w:ascii="Times New Roman" w:eastAsia="Times New Roman" w:hAnsi="Times New Roman" w:cs="Times New Roman"/>
          <w:kern w:val="28"/>
          <w:sz w:val="28"/>
          <w:szCs w:val="28"/>
          <w:lang w:eastAsia="ru-RU"/>
        </w:rPr>
        <w:t xml:space="preserve">осударственного комитета Республики Татарстан по тарифам (далее также Госкомитет, тарифный орган) от 15 декабря 2023 года № 725-81/тэ-2023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«Татэнерго» - Казанская ТЭЦ-1, Казанская ТЭЦ-2 г. Казани с </w:t>
      </w:r>
      <w:r w:rsidRPr="00790DE9">
        <w:rPr>
          <w:rFonts w:ascii="Times New Roman" w:eastAsia="Times New Roman" w:hAnsi="Times New Roman" w:cs="Times New Roman"/>
          <w:kern w:val="28"/>
          <w:sz w:val="28"/>
          <w:szCs w:val="28"/>
          <w:lang w:eastAsia="ru-RU"/>
        </w:rPr>
        <w:lastRenderedPageBreak/>
        <w:t xml:space="preserve">установленной генерирующей мощностью производства электрической энергии 25 мегаватт и более на коллекторах источников тепловой энергии, на 2024-2028 годы» установлены долгосрочные тарифы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(далее – АО) «Татэнерго» - Казанская ТЭЦ-1, Казанская ТЭЦ-2 с установленной генерирующей мощностью производства электрической энергии 25 мегаватт и более на коллекторе источников тепловой энергии, </w:t>
      </w:r>
      <w:r w:rsidRPr="00790DE9">
        <w:rPr>
          <w:rFonts w:ascii="Times New Roman" w:eastAsia="Times New Roman" w:hAnsi="Times New Roman" w:cs="Times New Roman"/>
          <w:kern w:val="28"/>
          <w:sz w:val="28"/>
          <w:szCs w:val="24"/>
          <w:lang w:eastAsia="ru-RU"/>
        </w:rPr>
        <w:t>на 2024 - 2028 годы</w:t>
      </w:r>
      <w:r w:rsidRPr="00790DE9">
        <w:rPr>
          <w:rFonts w:ascii="Times New Roman" w:eastAsia="Times New Roman" w:hAnsi="Times New Roman" w:cs="Times New Roman"/>
          <w:kern w:val="28"/>
          <w:sz w:val="28"/>
          <w:szCs w:val="28"/>
          <w:lang w:eastAsia="ru-RU"/>
        </w:rPr>
        <w:t xml:space="preserve"> </w:t>
      </w:r>
      <w:r w:rsidRPr="00790DE9">
        <w:rPr>
          <w:rFonts w:ascii="Times New Roman" w:eastAsia="Times New Roman" w:hAnsi="Times New Roman" w:cs="Times New Roman"/>
          <w:sz w:val="28"/>
          <w:szCs w:val="28"/>
          <w:lang w:eastAsia="ru-RU"/>
        </w:rPr>
        <w:t xml:space="preserve">с календарной разбивкой согласно приложению 1 </w:t>
      </w:r>
      <w:r w:rsidRPr="00790DE9">
        <w:rPr>
          <w:rFonts w:ascii="Times New Roman" w:eastAsia="Times New Roman" w:hAnsi="Times New Roman" w:cs="Times New Roman"/>
          <w:kern w:val="28"/>
          <w:sz w:val="28"/>
          <w:szCs w:val="28"/>
          <w:lang w:eastAsia="ru-RU"/>
        </w:rPr>
        <w:t xml:space="preserve">к этому постановлению,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Данное постановление зарегистрировано в Министерстве юстиции Республики Татарстан 20 декабря 2023 года за № 12268, опубликовано на официальном портале правовой информации Республики Татарстан http://pravo.tatarstan.ru 20 декабря 2023 года.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sz w:val="28"/>
          <w:szCs w:val="28"/>
          <w:lang w:eastAsia="ru-RU"/>
        </w:rPr>
        <w:t xml:space="preserve">Постановлением </w:t>
      </w:r>
      <w:r w:rsidRPr="00790DE9">
        <w:rPr>
          <w:rFonts w:ascii="Times New Roman" w:eastAsia="Times New Roman" w:hAnsi="Times New Roman" w:cs="Times New Roman"/>
          <w:kern w:val="28"/>
          <w:sz w:val="28"/>
          <w:szCs w:val="28"/>
          <w:lang w:eastAsia="ru-RU"/>
        </w:rPr>
        <w:t>Государственного комитета Республики Татарстан по тарифам от 15 декабря 2023 года № 725-81/тэ-2023 определены показатели одноставочного тарифа на тепловую энергию, поставляемую филиалами АО «Татэнерго» - Казанская ТЭЦ-1, Казанская ТЭЦ-2</w:t>
      </w:r>
      <w:r w:rsidRPr="00790DE9">
        <w:rPr>
          <w:rFonts w:ascii="Times New Roman" w:eastAsia="Times New Roman" w:hAnsi="Times New Roman" w:cs="Times New Roman"/>
          <w:sz w:val="28"/>
          <w:szCs w:val="28"/>
          <w:lang w:eastAsia="ru-RU"/>
        </w:rPr>
        <w:t>, в том числе:</w:t>
      </w:r>
      <w:r w:rsidRPr="00790DE9">
        <w:rPr>
          <w:rFonts w:ascii="Times New Roman" w:eastAsia="Times New Roman" w:hAnsi="Times New Roman" w:cs="Times New Roman"/>
          <w:kern w:val="28"/>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в период с 1 января 2024 года по 30 июня 2024 года в размере 955,17 рубля за Гкал, в период с 1 июля 2024 года по 31 декабря 2024 года - в размере 1100,37 рубля за Гкал (вид теплоносителя – вода).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При этом величина расходов на топливо, отнесенных на 1 Гкал тепловой энергии, отпускаемой в виде воды от источников тепловой энергии АО «Татэнерго» по источнику Казанская ТЭЦ-1, Казанская ТЭЦ-2, составила, в том числе: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в период с 1 января 2024 года по 30 июня 2024 года в размере 737,08 рубля за Гкал, в период с 1 июля 2024 года по 31 декабря 2024 года - в размере 807,42 рубля за Гкал.</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Базовый уровень операционных расходов на 2024 год установлен по источнику Казанская ТЭЦ-1 в размере 231 145,43 тысячи рублей, по источнику Казанская ТЭЦ-2 - в размере 297 203,63 тысячи рублей.</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Постановлением </w:t>
      </w:r>
      <w:r w:rsidRPr="00790DE9">
        <w:rPr>
          <w:rFonts w:ascii="Times New Roman" w:eastAsia="Times New Roman" w:hAnsi="Times New Roman" w:cs="Times New Roman"/>
          <w:kern w:val="28"/>
          <w:sz w:val="28"/>
          <w:szCs w:val="28"/>
          <w:lang w:eastAsia="ru-RU"/>
        </w:rPr>
        <w:t xml:space="preserve">Госкомитета от 20 декабря 2024 года № 733-120/тэ-2024 «О корректировке на 2025 год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«Татэнерго» - Казанская ТЭЦ-1, Казанская ТЭЦ-2 г. Казани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15 декабря 2023 года № 725-81/тэ-2023» установлены тарифы на тепловую энергию, производимую в режиме комбинированной выработки электрической и тепловой энергии источниками тепловой энергии филиала АО </w:t>
      </w:r>
      <w:r w:rsidRPr="00790DE9">
        <w:rPr>
          <w:rFonts w:ascii="Times New Roman" w:eastAsia="Times New Roman" w:hAnsi="Times New Roman" w:cs="Times New Roman"/>
          <w:kern w:val="28"/>
          <w:sz w:val="28"/>
          <w:szCs w:val="28"/>
          <w:lang w:eastAsia="ru-RU"/>
        </w:rPr>
        <w:lastRenderedPageBreak/>
        <w:t xml:space="preserve">«Татэнерго» - Казанская ТЭЦ-1, Казанская ТЭЦ-2 с установленной генерирующей мощностью производства электрической энергии 25 мегаватт и более на коллекторе источников тепловой энергии, </w:t>
      </w:r>
      <w:r w:rsidRPr="00790DE9">
        <w:rPr>
          <w:rFonts w:ascii="Times New Roman" w:eastAsia="Times New Roman" w:hAnsi="Times New Roman" w:cs="Times New Roman"/>
          <w:kern w:val="28"/>
          <w:sz w:val="28"/>
          <w:szCs w:val="24"/>
          <w:lang w:eastAsia="ru-RU"/>
        </w:rPr>
        <w:t>на 2025 год</w:t>
      </w:r>
      <w:r w:rsidRPr="00790DE9">
        <w:rPr>
          <w:rFonts w:ascii="Times New Roman" w:eastAsia="Times New Roman" w:hAnsi="Times New Roman" w:cs="Times New Roman"/>
          <w:kern w:val="28"/>
          <w:sz w:val="28"/>
          <w:szCs w:val="28"/>
          <w:lang w:eastAsia="ru-RU"/>
        </w:rPr>
        <w:t xml:space="preserve"> </w:t>
      </w:r>
      <w:r w:rsidRPr="00790DE9">
        <w:rPr>
          <w:rFonts w:ascii="Times New Roman" w:eastAsia="Times New Roman" w:hAnsi="Times New Roman" w:cs="Times New Roman"/>
          <w:sz w:val="28"/>
          <w:szCs w:val="28"/>
          <w:lang w:eastAsia="ru-RU"/>
        </w:rPr>
        <w:t xml:space="preserve">с календарной разбивкой согласно приложению </w:t>
      </w:r>
      <w:r w:rsidRPr="00790DE9">
        <w:rPr>
          <w:rFonts w:ascii="Times New Roman" w:eastAsia="Times New Roman" w:hAnsi="Times New Roman" w:cs="Times New Roman"/>
          <w:kern w:val="28"/>
          <w:sz w:val="28"/>
          <w:szCs w:val="28"/>
          <w:lang w:eastAsia="ru-RU"/>
        </w:rPr>
        <w:t xml:space="preserve">к этому постановлению.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Указанное постановление зарегистрировано в Министерстве юстиции Республики Татарстан 21 декабря 2024 года за № 13915, опубликовано на официальном портале правовой информации Республики Татарстан http://pravo.tatarstan.ru 21 декабря 2024 года.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sz w:val="28"/>
          <w:szCs w:val="28"/>
          <w:lang w:eastAsia="ru-RU"/>
        </w:rPr>
        <w:t xml:space="preserve">Постановлением </w:t>
      </w:r>
      <w:r w:rsidRPr="00790DE9">
        <w:rPr>
          <w:rFonts w:ascii="Times New Roman" w:eastAsia="Times New Roman" w:hAnsi="Times New Roman" w:cs="Times New Roman"/>
          <w:kern w:val="28"/>
          <w:sz w:val="28"/>
          <w:szCs w:val="28"/>
          <w:lang w:eastAsia="ru-RU"/>
        </w:rPr>
        <w:t>Государственного комитета Республики Татарстан по тарифам от 20 декабря 2024 года № 733-120/тэ-2024 определены показатели одноставочного тарифа на тепловую энергию, поставляемую филиалами АО «Татэнерго» - Казанская ТЭЦ-1, Казанская ТЭЦ-2</w:t>
      </w:r>
      <w:r w:rsidRPr="00790DE9">
        <w:rPr>
          <w:rFonts w:ascii="Times New Roman" w:eastAsia="Times New Roman" w:hAnsi="Times New Roman" w:cs="Times New Roman"/>
          <w:sz w:val="28"/>
          <w:szCs w:val="28"/>
          <w:lang w:eastAsia="ru-RU"/>
        </w:rPr>
        <w:t>, в том числе:</w:t>
      </w:r>
      <w:r w:rsidRPr="00790DE9">
        <w:rPr>
          <w:rFonts w:ascii="Times New Roman" w:eastAsia="Times New Roman" w:hAnsi="Times New Roman" w:cs="Times New Roman"/>
          <w:kern w:val="28"/>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в период с 1 января 2025 года по 30 июня 2025 года в размере 1100,37 рубля за Гкал, в период с 1 июля 2025 года по 31 декабря 2025 года - в размере 1357,57 рубля за Гкал (вид теплоносителя – вода).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При этом величина расходов на топливо, отнесенных на 1 Гкал тепловой энергии, отпускаемой в виде воды от источников тепловой энергии АО «Татэнерго» по источникам Казанская ТЭЦ-1, Казанская ТЭЦ-2, составила, в том числе: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в период с 1 января 2025 года по 30 июня 2025 года в размере 838,20 рубля за Гкал, в период с 1 июля 2025 года по 31 декабря 2025 года - в размере 974,97 рубля за Гкал.</w:t>
      </w:r>
    </w:p>
    <w:p w:rsidR="00790DE9" w:rsidRPr="00790DE9" w:rsidRDefault="00790DE9" w:rsidP="00790DE9">
      <w:pPr>
        <w:autoSpaceDE w:val="0"/>
        <w:autoSpaceDN w:val="0"/>
        <w:spacing w:after="0" w:line="312" w:lineRule="exact"/>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АО «Татэнерго» обратилось в </w:t>
      </w:r>
      <w:r w:rsidRPr="00790DE9">
        <w:rPr>
          <w:rFonts w:ascii="Times New Roman" w:eastAsia="Times New Roman" w:hAnsi="Times New Roman" w:cs="Times New Roman"/>
          <w:kern w:val="28"/>
          <w:sz w:val="28"/>
          <w:szCs w:val="24"/>
          <w:lang w:eastAsia="ru-RU"/>
        </w:rPr>
        <w:t xml:space="preserve">Верховный Суд Республики Татарстан </w:t>
      </w:r>
      <w:r w:rsidRPr="00790DE9">
        <w:rPr>
          <w:rFonts w:ascii="Times New Roman" w:eastAsia="Times New Roman" w:hAnsi="Times New Roman" w:cs="Times New Roman"/>
          <w:kern w:val="28"/>
          <w:sz w:val="28"/>
          <w:szCs w:val="28"/>
          <w:lang w:eastAsia="ru-RU"/>
        </w:rPr>
        <w:t xml:space="preserve">с административным исковым заявлением о признании недействующими постановлений Государственного комитета Республики Татарстан по тарифам от 15 декабря 2023 года № 725-81/тэ-2023, от 20 декабря 2024 года № 733-120/тэ-2024.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По мнению административного истца, оспариваемые постановления Государственного комитета Республики Татарстан по тарифам</w:t>
      </w:r>
      <w:r w:rsidRPr="00790DE9">
        <w:rPr>
          <w:rFonts w:ascii="Times New Roman" w:eastAsia="Times New Roman" w:hAnsi="Times New Roman" w:cs="Times New Roman"/>
          <w:sz w:val="28"/>
          <w:szCs w:val="28"/>
          <w:lang w:eastAsia="ru-RU"/>
        </w:rPr>
        <w:t xml:space="preserve"> противоречит Федеральному </w:t>
      </w:r>
      <w:hyperlink r:id="rId8"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 xml:space="preserve">у от 27 июля 2010 года № 190-ФЗ «О теплоснабжении»,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lastRenderedPageBreak/>
        <w:t xml:space="preserve">Тарифным органом, с точки зрения регулируемой организации, необоснованно не включены полностью или в части в необходимую валовую выручку (далее – НВВ) затраты на содержание парогазовой установки, в том числе амортизацию основных средств, обязательные платежи по налогу на имущество; косвенные расходы по видам продукции на 2024 год (неверное распределение); затраты на оплату труда за 2024-2025 годы с учетом единого социального налога; расходы на услуги по уборке помещений и территории; расходы на оплату аренды водного объекта (водопользование); величина амортизационных отчислений в 2025 году; корректировки, определяемой с учетом отклонения фактических значений параметров расчета тарифов от значений, учтенных при установлении тарифов, фактический налог на прибыль на величину фактических расходов, относимых на прибыль; величина расчетной предпринимательской прибыли; неверно определен объем отпуска тепловой энергии. </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 xml:space="preserve">В судебном заседании представители </w:t>
      </w:r>
      <w:r w:rsidRPr="00790DE9">
        <w:rPr>
          <w:rFonts w:ascii="Times New Roman" w:eastAsia="Times New Roman" w:hAnsi="Times New Roman" w:cs="Times New Roman"/>
          <w:kern w:val="28"/>
          <w:sz w:val="28"/>
          <w:szCs w:val="28"/>
          <w:lang w:eastAsia="ru-RU"/>
        </w:rPr>
        <w:t>АО «Татэнерго» Зарипова Ю.Н., Борисова Т.Е., Коломенскова М.А., Газизуллина Г.Р.</w:t>
      </w:r>
      <w:r w:rsidRPr="00790DE9">
        <w:rPr>
          <w:rFonts w:ascii="Times New Roman" w:eastAsia="Times New Roman" w:hAnsi="Times New Roman" w:cs="Times New Roman"/>
          <w:kern w:val="28"/>
          <w:sz w:val="28"/>
          <w:szCs w:val="24"/>
          <w:lang w:eastAsia="ru-RU"/>
        </w:rPr>
        <w:t xml:space="preserve"> административный иск поддержали.</w:t>
      </w:r>
      <w:r w:rsidRPr="00790DE9">
        <w:rPr>
          <w:rFonts w:ascii="Times New Roman" w:eastAsia="Times New Roman" w:hAnsi="Times New Roman" w:cs="Times New Roman"/>
          <w:kern w:val="28"/>
          <w:sz w:val="28"/>
          <w:szCs w:val="28"/>
          <w:lang w:eastAsia="ru-RU"/>
        </w:rPr>
        <w:t xml:space="preserve"> </w:t>
      </w:r>
      <w:r w:rsidRPr="00790DE9">
        <w:rPr>
          <w:rFonts w:ascii="Times New Roman" w:eastAsia="Times New Roman" w:hAnsi="Times New Roman" w:cs="Times New Roman"/>
          <w:kern w:val="28"/>
          <w:sz w:val="28"/>
          <w:szCs w:val="24"/>
          <w:lang w:eastAsia="ru-RU"/>
        </w:rPr>
        <w:t xml:space="preserve">  </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 xml:space="preserve">Представители </w:t>
      </w:r>
      <w:r w:rsidRPr="00790DE9">
        <w:rPr>
          <w:rFonts w:ascii="Times New Roman" w:eastAsia="Times New Roman" w:hAnsi="Times New Roman" w:cs="Times New Roman"/>
          <w:kern w:val="28"/>
          <w:sz w:val="28"/>
          <w:szCs w:val="28"/>
          <w:lang w:eastAsia="ru-RU"/>
        </w:rPr>
        <w:t xml:space="preserve">Государственного комитета Республики Татарстан по тарифам Павлов С.В., Царева Н.В., Афлятунова А.И., Насырова А.З. административный иск </w:t>
      </w:r>
      <w:r w:rsidRPr="00790DE9">
        <w:rPr>
          <w:rFonts w:ascii="Times New Roman" w:eastAsia="Times New Roman" w:hAnsi="Times New Roman" w:cs="Times New Roman"/>
          <w:kern w:val="28"/>
          <w:sz w:val="28"/>
          <w:szCs w:val="24"/>
          <w:lang w:eastAsia="ru-RU"/>
        </w:rPr>
        <w:t>не признали.</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kern w:val="28"/>
          <w:sz w:val="28"/>
          <w:szCs w:val="24"/>
          <w:lang w:eastAsia="ru-RU"/>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sidRPr="00790DE9">
        <w:rPr>
          <w:rFonts w:ascii="Times New Roman" w:eastAsia="Times New Roman" w:hAnsi="Times New Roman" w:cs="Times New Roman"/>
          <w:sz w:val="28"/>
          <w:szCs w:val="28"/>
          <w:lang w:eastAsia="ru-RU"/>
        </w:rPr>
        <w:t xml:space="preserve">На основании </w:t>
      </w:r>
      <w:hyperlink r:id="rId9" w:history="1">
        <w:r w:rsidRPr="00790DE9">
          <w:rPr>
            <w:rFonts w:ascii="Times New Roman" w:eastAsia="Times New Roman" w:hAnsi="Times New Roman" w:cs="Times New Roman"/>
            <w:sz w:val="28"/>
            <w:szCs w:val="28"/>
            <w:lang w:eastAsia="ru-RU"/>
          </w:rPr>
          <w:t>части 5 статьи 213</w:t>
        </w:r>
      </w:hyperlink>
      <w:r w:rsidRPr="00790DE9">
        <w:rPr>
          <w:rFonts w:ascii="Times New Roman" w:eastAsia="Times New Roman" w:hAnsi="Times New Roman" w:cs="Times New Roman"/>
          <w:sz w:val="28"/>
          <w:szCs w:val="28"/>
          <w:lang w:eastAsia="ru-RU"/>
        </w:rPr>
        <w:t xml:space="preserve"> Кодекса административного судопроизводства Российской Федерации суд находит возможным рассмотрение дела в его отсутствие.</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Выслушав представителей административного истца, </w:t>
      </w:r>
      <w:r w:rsidRPr="00790DE9">
        <w:rPr>
          <w:rFonts w:ascii="Times New Roman" w:eastAsia="Times New Roman" w:hAnsi="Times New Roman" w:cs="Times New Roman"/>
          <w:iCs/>
          <w:sz w:val="28"/>
          <w:szCs w:val="28"/>
          <w:lang w:eastAsia="ru-RU"/>
        </w:rPr>
        <w:t>органа, принявшего оспариваемый нормативный акт</w:t>
      </w:r>
      <w:r w:rsidRPr="00790DE9">
        <w:rPr>
          <w:rFonts w:ascii="Times New Roman" w:eastAsia="Times New Roman" w:hAnsi="Times New Roman" w:cs="Times New Roman"/>
          <w:sz w:val="28"/>
          <w:szCs w:val="28"/>
          <w:lang w:eastAsia="ru-RU"/>
        </w:rP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10"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 xml:space="preserve"> от 27 июля 2010 года № 190-ФЗ «О теплоснабжении».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Постановлением Правительства Российской Федерации от 22 октября 2012 года № 1075 утверждены </w:t>
      </w:r>
      <w:hyperlink r:id="rId11" w:history="1">
        <w:r w:rsidRPr="00790DE9">
          <w:rPr>
            <w:rFonts w:ascii="Times New Roman" w:eastAsia="Times New Roman" w:hAnsi="Times New Roman" w:cs="Times New Roman"/>
            <w:sz w:val="28"/>
            <w:szCs w:val="28"/>
            <w:lang w:eastAsia="ru-RU"/>
          </w:rPr>
          <w:t>Основы</w:t>
        </w:r>
      </w:hyperlink>
      <w:r w:rsidRPr="00790DE9">
        <w:rPr>
          <w:rFonts w:ascii="Times New Roman" w:eastAsia="Times New Roman" w:hAnsi="Times New Roman" w:cs="Times New Roman"/>
          <w:sz w:val="28"/>
          <w:szCs w:val="28"/>
          <w:lang w:eastAsia="ru-RU"/>
        </w:rPr>
        <w:t xml:space="preserve"> ценообразования в сфере </w:t>
      </w:r>
      <w:r w:rsidRPr="00790DE9">
        <w:rPr>
          <w:rFonts w:ascii="Times New Roman" w:eastAsia="Times New Roman" w:hAnsi="Times New Roman" w:cs="Times New Roman"/>
          <w:sz w:val="28"/>
          <w:szCs w:val="28"/>
          <w:lang w:eastAsia="ru-RU"/>
        </w:rPr>
        <w:lastRenderedPageBreak/>
        <w:t xml:space="preserve">теплоснабжения (далее - Основы ценообразования), </w:t>
      </w:r>
      <w:hyperlink r:id="rId12" w:history="1">
        <w:r w:rsidRPr="00790DE9">
          <w:rPr>
            <w:rFonts w:ascii="Times New Roman" w:eastAsia="Times New Roman" w:hAnsi="Times New Roman" w:cs="Times New Roman"/>
            <w:sz w:val="28"/>
            <w:szCs w:val="28"/>
            <w:lang w:eastAsia="ru-RU"/>
          </w:rPr>
          <w:t>Правила</w:t>
        </w:r>
      </w:hyperlink>
      <w:r w:rsidRPr="00790DE9">
        <w:rPr>
          <w:rFonts w:ascii="Times New Roman" w:eastAsia="Times New Roman" w:hAnsi="Times New Roman" w:cs="Times New Roman"/>
          <w:sz w:val="28"/>
          <w:szCs w:val="28"/>
          <w:lang w:eastAsia="ru-RU"/>
        </w:rPr>
        <w:t xml:space="preserve"> регулирования цен (тарифов) в сфере теплоснабжения (далее - Правила регулирования тарифов), которыми установлены основные принципы и методы определения 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790DE9">
          <w:rPr>
            <w:rFonts w:ascii="Times New Roman" w:eastAsia="Times New Roman" w:hAnsi="Times New Roman" w:cs="Times New Roman"/>
            <w:sz w:val="28"/>
            <w:szCs w:val="28"/>
            <w:lang w:eastAsia="ru-RU"/>
          </w:rPr>
          <w:t>законом</w:t>
        </w:r>
      </w:hyperlink>
      <w:r w:rsidRPr="00790DE9">
        <w:rPr>
          <w:rFonts w:ascii="Times New Roman" w:eastAsia="Times New Roman" w:hAnsi="Times New Roman" w:cs="Times New Roman"/>
          <w:sz w:val="28"/>
          <w:szCs w:val="28"/>
          <w:lang w:eastAsia="ru-RU"/>
        </w:rPr>
        <w:t xml:space="preserve"> от 27 июля 2010 года № 190-ФЗ, а также порядок установления регулируемых цен (тарифов) в сфере теплоснабжения.</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На основании пункта 3 части 1 статьи 8 Федерального </w:t>
      </w:r>
      <w:hyperlink r:id="rId14"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 xml:space="preserve">а от 27 июля 2010 года № 190-ФЗ государственному регулированию в сфере теплоснабжения подлежат </w:t>
      </w:r>
      <w:r w:rsidRPr="00790DE9">
        <w:rPr>
          <w:rFonts w:ascii="Times New Roman" w:eastAsia="Calibri" w:hAnsi="Times New Roman" w:cs="Times New Roman"/>
          <w:sz w:val="28"/>
          <w:szCs w:val="28"/>
          <w:lang w:eastAsia="ru-RU"/>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sidRPr="00790DE9">
        <w:rPr>
          <w:rFonts w:ascii="Times New Roman" w:eastAsia="Times New Roman" w:hAnsi="Times New Roman" w:cs="Times New Roman"/>
          <w:sz w:val="28"/>
          <w:szCs w:val="28"/>
          <w:lang w:eastAsia="ru-RU"/>
        </w:rPr>
        <w:t>.</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Пунктом 1 части 3 статьи 7 Федерального </w:t>
      </w:r>
      <w:hyperlink r:id="rId15"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 xml:space="preserve">а от 27 июля 2010 года № 190-ФЗ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тарифов </w:t>
      </w:r>
      <w:r w:rsidRPr="00790DE9">
        <w:rPr>
          <w:rFonts w:ascii="Times New Roman" w:eastAsia="Calibri" w:hAnsi="Times New Roman" w:cs="Times New Roman"/>
          <w:sz w:val="28"/>
          <w:szCs w:val="28"/>
          <w:lang w:eastAsia="ru-RU"/>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sidRPr="00790DE9">
        <w:rPr>
          <w:rFonts w:ascii="Times New Roman" w:eastAsia="Times New Roman" w:hAnsi="Times New Roman" w:cs="Times New Roman"/>
          <w:sz w:val="28"/>
          <w:szCs w:val="28"/>
          <w:lang w:eastAsia="ru-RU"/>
        </w:rPr>
        <w:t>.</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sidRPr="00790DE9">
        <w:rPr>
          <w:rFonts w:ascii="Times New Roman" w:eastAsia="Times New Roman" w:hAnsi="Times New Roman" w:cs="Times New Roman"/>
          <w:kern w:val="28"/>
          <w:sz w:val="28"/>
          <w:szCs w:val="28"/>
          <w:lang w:eastAsia="ru-RU"/>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sidRPr="00790DE9">
        <w:rPr>
          <w:rFonts w:ascii="Times New Roman" w:eastAsia="Times New Roman" w:hAnsi="Times New Roman" w:cs="Times New Roman"/>
          <w:sz w:val="28"/>
          <w:szCs w:val="28"/>
          <w:lang w:eastAsia="ru-RU"/>
        </w:rPr>
        <w:t xml:space="preserve"> Положения о </w:t>
      </w:r>
      <w:r w:rsidRPr="00790DE9">
        <w:rPr>
          <w:rFonts w:ascii="Times New Roman" w:eastAsia="Times New Roman" w:hAnsi="Times New Roman" w:cs="Times New Roman"/>
          <w:kern w:val="28"/>
          <w:sz w:val="28"/>
          <w:szCs w:val="28"/>
          <w:lang w:eastAsia="ru-RU"/>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sidRPr="00790DE9">
        <w:rPr>
          <w:rFonts w:ascii="Times New Roman" w:eastAsia="Times New Roman"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Таким образом, оспариваемое постановление принято </w:t>
      </w:r>
      <w:r w:rsidRPr="00790DE9">
        <w:rPr>
          <w:rFonts w:ascii="Times New Roman" w:eastAsia="Times New Roman" w:hAnsi="Times New Roman" w:cs="Times New Roman"/>
          <w:kern w:val="28"/>
          <w:sz w:val="28"/>
          <w:szCs w:val="28"/>
          <w:lang w:eastAsia="ru-RU"/>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sidRPr="00790DE9">
        <w:rPr>
          <w:rFonts w:ascii="Times New Roman" w:eastAsia="Times New Roman" w:hAnsi="Times New Roman" w:cs="Times New Roman"/>
          <w:sz w:val="28"/>
          <w:szCs w:val="28"/>
          <w:lang w:eastAsia="ru-RU"/>
        </w:rPr>
        <w:t>порядка принятия данного нормативного правового акта, введения его в действие, в том числе правил опубликования.</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Согласно </w:t>
      </w:r>
      <w:hyperlink r:id="rId16" w:history="1">
        <w:r w:rsidRPr="00790DE9">
          <w:rPr>
            <w:rFonts w:ascii="Times New Roman" w:eastAsia="Times New Roman" w:hAnsi="Times New Roman" w:cs="Times New Roman"/>
            <w:sz w:val="28"/>
            <w:szCs w:val="28"/>
            <w:lang w:eastAsia="ru-RU"/>
          </w:rPr>
          <w:t>пунктам 12</w:t>
        </w:r>
      </w:hyperlink>
      <w:r w:rsidRPr="00790DE9">
        <w:rPr>
          <w:rFonts w:ascii="Times New Roman" w:eastAsia="Times New Roman" w:hAnsi="Times New Roman" w:cs="Times New Roman"/>
          <w:sz w:val="28"/>
          <w:szCs w:val="28"/>
          <w:lang w:eastAsia="ru-RU"/>
        </w:rPr>
        <w:t xml:space="preserve"> и </w:t>
      </w:r>
      <w:hyperlink r:id="rId17" w:history="1">
        <w:r w:rsidRPr="00790DE9">
          <w:rPr>
            <w:rFonts w:ascii="Times New Roman" w:eastAsia="Times New Roman" w:hAnsi="Times New Roman" w:cs="Times New Roman"/>
            <w:sz w:val="28"/>
            <w:szCs w:val="28"/>
            <w:lang w:eastAsia="ru-RU"/>
          </w:rPr>
          <w:t>13</w:t>
        </w:r>
      </w:hyperlink>
      <w:r w:rsidRPr="00790DE9">
        <w:rPr>
          <w:rFonts w:ascii="Times New Roman" w:eastAsia="Times New Roman" w:hAnsi="Times New Roman" w:cs="Times New Roman"/>
          <w:sz w:val="28"/>
          <w:szCs w:val="28"/>
          <w:lang w:eastAsia="ru-RU"/>
        </w:rPr>
        <w:t xml:space="preserve"> Правил регулирования установление тарифов производится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w:t>
      </w:r>
      <w:r w:rsidRPr="00790DE9">
        <w:rPr>
          <w:rFonts w:ascii="Times New Roman" w:eastAsia="Times New Roman" w:hAnsi="Times New Roman" w:cs="Times New Roman"/>
          <w:sz w:val="28"/>
          <w:szCs w:val="28"/>
          <w:lang w:eastAsia="ru-RU"/>
        </w:rPr>
        <w:lastRenderedPageBreak/>
        <w:t xml:space="preserve">обосновывающих материалов, предусмотренных </w:t>
      </w:r>
      <w:hyperlink r:id="rId18" w:history="1">
        <w:r w:rsidRPr="00790DE9">
          <w:rPr>
            <w:rFonts w:ascii="Times New Roman" w:eastAsia="Times New Roman" w:hAnsi="Times New Roman" w:cs="Times New Roman"/>
            <w:sz w:val="28"/>
            <w:szCs w:val="28"/>
            <w:lang w:eastAsia="ru-RU"/>
          </w:rPr>
          <w:t>пунктами 15</w:t>
        </w:r>
      </w:hyperlink>
      <w:r w:rsidRPr="00790DE9">
        <w:rPr>
          <w:rFonts w:ascii="Times New Roman" w:eastAsia="Times New Roman" w:hAnsi="Times New Roman" w:cs="Times New Roman"/>
          <w:sz w:val="28"/>
          <w:szCs w:val="28"/>
          <w:lang w:eastAsia="ru-RU"/>
        </w:rPr>
        <w:t xml:space="preserve"> и </w:t>
      </w:r>
      <w:hyperlink r:id="rId19" w:history="1">
        <w:r w:rsidRPr="00790DE9">
          <w:rPr>
            <w:rFonts w:ascii="Times New Roman" w:eastAsia="Times New Roman" w:hAnsi="Times New Roman" w:cs="Times New Roman"/>
            <w:sz w:val="28"/>
            <w:szCs w:val="28"/>
            <w:lang w:eastAsia="ru-RU"/>
          </w:rPr>
          <w:t>16</w:t>
        </w:r>
      </w:hyperlink>
      <w:r w:rsidRPr="00790DE9">
        <w:rPr>
          <w:rFonts w:ascii="Times New Roman" w:eastAsia="Times New Roman" w:hAnsi="Times New Roman" w:cs="Times New Roman"/>
          <w:sz w:val="28"/>
          <w:szCs w:val="28"/>
          <w:lang w:eastAsia="ru-RU"/>
        </w:rPr>
        <w:t xml:space="preserve"> данных Правил.</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Из материалов дела следует, что </w:t>
      </w:r>
      <w:r w:rsidRPr="00790DE9">
        <w:rPr>
          <w:rFonts w:ascii="Times New Roman" w:eastAsia="Times New Roman" w:hAnsi="Times New Roman" w:cs="Times New Roman"/>
          <w:kern w:val="28"/>
          <w:sz w:val="28"/>
          <w:szCs w:val="28"/>
          <w:lang w:eastAsia="ru-RU"/>
        </w:rPr>
        <w:t>АО «Татэнерго» 27</w:t>
      </w:r>
      <w:r w:rsidRPr="00790DE9">
        <w:rPr>
          <w:rFonts w:ascii="Times New Roman" w:eastAsia="Times New Roman" w:hAnsi="Times New Roman" w:cs="Times New Roman"/>
          <w:sz w:val="28"/>
          <w:szCs w:val="28"/>
          <w:lang w:eastAsia="ru-RU"/>
        </w:rPr>
        <w:t xml:space="preserve"> апреля 2023 года обратилось в орган регулирования - </w:t>
      </w:r>
      <w:r w:rsidRPr="00790DE9">
        <w:rPr>
          <w:rFonts w:ascii="Times New Roman" w:eastAsia="Times New Roman" w:hAnsi="Times New Roman" w:cs="Times New Roman"/>
          <w:kern w:val="28"/>
          <w:sz w:val="28"/>
          <w:szCs w:val="28"/>
          <w:lang w:eastAsia="ru-RU"/>
        </w:rPr>
        <w:t>Государственный комитет Республики Татарстан по тарифам -</w:t>
      </w:r>
      <w:r w:rsidRPr="00790DE9">
        <w:rPr>
          <w:rFonts w:ascii="Times New Roman" w:eastAsia="Times New Roman" w:hAnsi="Times New Roman" w:cs="Times New Roman"/>
          <w:sz w:val="28"/>
          <w:szCs w:val="28"/>
          <w:lang w:eastAsia="ru-RU"/>
        </w:rPr>
        <w:t xml:space="preserve"> с заявлением об открытии дела об установлении </w:t>
      </w:r>
      <w:r w:rsidRPr="00790DE9">
        <w:rPr>
          <w:rFonts w:ascii="Times New Roman" w:eastAsia="Times New Roman" w:hAnsi="Times New Roman" w:cs="Times New Roman"/>
          <w:kern w:val="28"/>
          <w:sz w:val="28"/>
          <w:szCs w:val="28"/>
          <w:lang w:eastAsia="ru-RU"/>
        </w:rPr>
        <w:t>тарифов на тепловую энергию, производимую в режиме комбинированной выработки электрической и тепловой энергии источниками тепловой энергии филиалами АО «Татэнерго» - Казанская ТЭЦ-1, Казанская ТЭЦ-2 с установленной генерирующей мощностью производства электрической энергии 25 мегаватт и более на коллекторе источника тепловой энергии,</w:t>
      </w:r>
      <w:r w:rsidRPr="00790DE9">
        <w:rPr>
          <w:rFonts w:ascii="Times New Roman" w:eastAsia="Times New Roman" w:hAnsi="Times New Roman" w:cs="Times New Roman"/>
          <w:sz w:val="28"/>
          <w:szCs w:val="28"/>
          <w:lang w:eastAsia="ru-RU"/>
        </w:rPr>
        <w:t xml:space="preserve"> на 2024 - 2028 годы, приложив пакет обосновывающих материалов. </w:t>
      </w:r>
      <w:r w:rsidRPr="00790DE9">
        <w:rPr>
          <w:rFonts w:ascii="Times New Roman" w:eastAsia="Times New Roman" w:hAnsi="Times New Roman" w:cs="Times New Roman"/>
          <w:kern w:val="28"/>
          <w:sz w:val="28"/>
          <w:szCs w:val="28"/>
          <w:lang w:eastAsia="ru-RU"/>
        </w:rPr>
        <w:t xml:space="preserve">АО «Татэнерго» </w:t>
      </w:r>
      <w:r w:rsidRPr="00790DE9">
        <w:rPr>
          <w:rFonts w:ascii="Times New Roman" w:eastAsia="Times New Roman" w:hAnsi="Times New Roman" w:cs="Times New Roman"/>
          <w:sz w:val="28"/>
          <w:szCs w:val="28"/>
          <w:lang w:eastAsia="ru-RU"/>
        </w:rPr>
        <w:t>просило установить тарифы с применением метода индексации установленных тарифов.</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филиалами АО «Татэнерго» - Казанская ТЭЦ-1, Казанская ТЭЦ-2 с установленной генерирующей мощностью производства электрической энергии 25 мегаватт и более на коллекторе источника тепловой энергии,</w:t>
      </w:r>
      <w:r w:rsidRPr="00790DE9">
        <w:rPr>
          <w:rFonts w:ascii="Times New Roman" w:eastAsia="Times New Roman" w:hAnsi="Times New Roman" w:cs="Times New Roman"/>
          <w:sz w:val="28"/>
          <w:szCs w:val="28"/>
          <w:lang w:eastAsia="ru-RU"/>
        </w:rPr>
        <w:t xml:space="preserve"> на 2024 - 2028 годы</w:t>
      </w:r>
      <w:r w:rsidRPr="00790DE9">
        <w:rPr>
          <w:rFonts w:ascii="Times New Roman" w:eastAsia="Times New Roman" w:hAnsi="Times New Roman" w:cs="Times New Roman"/>
          <w:kern w:val="28"/>
          <w:sz w:val="28"/>
          <w:szCs w:val="28"/>
          <w:lang w:eastAsia="ru-RU"/>
        </w:rPr>
        <w:t>.</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kern w:val="28"/>
          <w:sz w:val="28"/>
          <w:szCs w:val="28"/>
          <w:lang w:eastAsia="ru-RU"/>
        </w:rPr>
        <w:t xml:space="preserve">15 декабря 2023 года органом регулирования на заседании правления (протокол от 15 декабря 2023 года № 59-ПР) рассмотрен вопрос </w:t>
      </w:r>
      <w:r w:rsidRPr="00790DE9">
        <w:rPr>
          <w:rFonts w:ascii="Times New Roman" w:eastAsia="Times New Roman" w:hAnsi="Times New Roman" w:cs="Times New Roman"/>
          <w:sz w:val="28"/>
          <w:szCs w:val="28"/>
          <w:lang w:eastAsia="ru-RU"/>
        </w:rPr>
        <w:t xml:space="preserve">об установлении тарифов </w:t>
      </w:r>
      <w:r w:rsidRPr="00790DE9">
        <w:rPr>
          <w:rFonts w:ascii="Times New Roman" w:eastAsia="Times New Roman" w:hAnsi="Times New Roman" w:cs="Times New Roman"/>
          <w:kern w:val="28"/>
          <w:sz w:val="28"/>
          <w:szCs w:val="28"/>
          <w:lang w:eastAsia="ru-RU"/>
        </w:rPr>
        <w:t>на тепловую энергию, производимую в режиме комбинированной выработки электрической и тепловой энергии источниками тепловой энергии филиалами АО «Татэнерго» - Казанская ТЭЦ-1, Казанская ТЭЦ-2 с установленной генерирующей мощностью производства электрической энергии 25 мегаватт и более на коллекторе источника тепловой энергии,</w:t>
      </w:r>
      <w:r w:rsidRPr="00790DE9">
        <w:rPr>
          <w:rFonts w:ascii="Times New Roman" w:eastAsia="Times New Roman" w:hAnsi="Times New Roman" w:cs="Times New Roman"/>
          <w:sz w:val="28"/>
          <w:szCs w:val="28"/>
          <w:lang w:eastAsia="ru-RU"/>
        </w:rPr>
        <w:t xml:space="preserve"> на 2024 - 2028 годы, принят оспариваемый нормативный правовой акт.</w:t>
      </w:r>
      <w:r w:rsidRPr="00790DE9">
        <w:rPr>
          <w:rFonts w:ascii="Times New Roman" w:eastAsia="Times New Roman" w:hAnsi="Times New Roman" w:cs="Times New Roman"/>
          <w:kern w:val="28"/>
          <w:sz w:val="28"/>
          <w:szCs w:val="28"/>
          <w:lang w:eastAsia="ru-RU"/>
        </w:rPr>
        <w:t xml:space="preserve">     </w:t>
      </w:r>
      <w:r w:rsidRPr="00790DE9">
        <w:rPr>
          <w:rFonts w:ascii="Times New Roman" w:eastAsia="Times New Roman"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25 апреля 2024 года </w:t>
      </w:r>
      <w:r w:rsidRPr="00790DE9">
        <w:rPr>
          <w:rFonts w:ascii="Times New Roman" w:eastAsia="Times New Roman" w:hAnsi="Times New Roman" w:cs="Times New Roman"/>
          <w:kern w:val="28"/>
          <w:sz w:val="28"/>
          <w:szCs w:val="28"/>
          <w:lang w:eastAsia="ru-RU"/>
        </w:rPr>
        <w:t xml:space="preserve">АО «Татэнерго» </w:t>
      </w:r>
      <w:r w:rsidRPr="00790DE9">
        <w:rPr>
          <w:rFonts w:ascii="Times New Roman" w:eastAsia="Times New Roman" w:hAnsi="Times New Roman" w:cs="Times New Roman"/>
          <w:sz w:val="28"/>
          <w:szCs w:val="28"/>
          <w:lang w:eastAsia="ru-RU"/>
        </w:rPr>
        <w:t xml:space="preserve">обратилось в </w:t>
      </w:r>
      <w:r w:rsidRPr="00790DE9">
        <w:rPr>
          <w:rFonts w:ascii="Times New Roman" w:eastAsia="Times New Roman" w:hAnsi="Times New Roman" w:cs="Times New Roman"/>
          <w:kern w:val="28"/>
          <w:sz w:val="28"/>
          <w:szCs w:val="28"/>
          <w:lang w:eastAsia="ru-RU"/>
        </w:rPr>
        <w:t xml:space="preserve">Госкомитет </w:t>
      </w:r>
      <w:r w:rsidRPr="00790DE9">
        <w:rPr>
          <w:rFonts w:ascii="Times New Roman" w:eastAsia="Times New Roman" w:hAnsi="Times New Roman" w:cs="Times New Roman"/>
          <w:sz w:val="28"/>
          <w:szCs w:val="28"/>
          <w:lang w:eastAsia="ru-RU"/>
        </w:rPr>
        <w:t xml:space="preserve">с заявлением об открытии дела о корректировке установленных тарифов с применением метода индексации на тепловую энергию на 2025 год, приложив пакет обосновывающих материалов.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Приказом Госкомитета от 14 мая 2024 года № Пр-272/2024 открыто тарифное дело № 20-42/тэ-2024/к-2025 о корректировке тарифов на 2025 год. В отношении административного истца применен метод индексации установленных тарифов.</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sidRPr="00790DE9">
        <w:rPr>
          <w:rFonts w:ascii="Times New Roman" w:eastAsia="Times New Roman" w:hAnsi="Times New Roman" w:cs="Times New Roman"/>
          <w:kern w:val="28"/>
          <w:sz w:val="28"/>
          <w:szCs w:val="28"/>
          <w:lang w:eastAsia="ru-RU"/>
        </w:rPr>
        <w:t xml:space="preserve">АО «Татэнерго» </w:t>
      </w:r>
      <w:r w:rsidRPr="00790DE9">
        <w:rPr>
          <w:rFonts w:ascii="Times New Roman" w:eastAsia="Times New Roman" w:hAnsi="Times New Roman" w:cs="Times New Roman"/>
          <w:sz w:val="28"/>
          <w:szCs w:val="28"/>
          <w:lang w:eastAsia="ru-RU"/>
        </w:rPr>
        <w:t>о</w:t>
      </w:r>
      <w:r w:rsidRPr="00790DE9">
        <w:rPr>
          <w:rFonts w:ascii="Times New Roman" w:eastAsia="Times New Roman" w:hAnsi="Times New Roman" w:cs="Times New Roman"/>
          <w:kern w:val="28"/>
          <w:sz w:val="28"/>
          <w:szCs w:val="28"/>
          <w:lang w:eastAsia="ru-RU"/>
        </w:rPr>
        <w:t xml:space="preserve"> корректировке на 2025 год долгосрочных тарифов на тепловую энергию, производимую в режиме комбинированной выработки электрической и тепловой энергии источниками тепловой энергии филиала АО «Татэнерго» - Казанская ТЭЦ-1, Казанская ТЭЦ-2 с установленной генерирующей мощностью производства </w:t>
      </w:r>
      <w:r w:rsidRPr="00790DE9">
        <w:rPr>
          <w:rFonts w:ascii="Times New Roman" w:eastAsia="Times New Roman" w:hAnsi="Times New Roman" w:cs="Times New Roman"/>
          <w:kern w:val="28"/>
          <w:sz w:val="28"/>
          <w:szCs w:val="28"/>
          <w:lang w:eastAsia="ru-RU"/>
        </w:rPr>
        <w:lastRenderedPageBreak/>
        <w:t xml:space="preserve">электрической энергии 25 мегаватт и более на коллекторе источника тепловой энергии, </w:t>
      </w:r>
      <w:r w:rsidRPr="00790DE9">
        <w:rPr>
          <w:rFonts w:ascii="Times New Roman" w:eastAsia="Times New Roman" w:hAnsi="Times New Roman" w:cs="Times New Roman"/>
          <w:sz w:val="28"/>
          <w:szCs w:val="28"/>
          <w:lang w:eastAsia="ru-RU"/>
        </w:rPr>
        <w:t xml:space="preserve">административным ответчиком принято оспариваемое постановление </w:t>
      </w:r>
      <w:r w:rsidRPr="00790DE9">
        <w:rPr>
          <w:rFonts w:ascii="Times New Roman" w:eastAsia="Times New Roman" w:hAnsi="Times New Roman" w:cs="Times New Roman"/>
          <w:kern w:val="28"/>
          <w:sz w:val="28"/>
          <w:szCs w:val="28"/>
          <w:lang w:eastAsia="ru-RU"/>
        </w:rPr>
        <w:t>от 20 декабря 2024 года № 733-120/тэ-2024</w:t>
      </w:r>
      <w:r w:rsidRPr="00790DE9">
        <w:rPr>
          <w:rFonts w:ascii="Times New Roman" w:eastAsia="Times New Roman" w:hAnsi="Times New Roman" w:cs="Times New Roman"/>
          <w:sz w:val="28"/>
          <w:szCs w:val="28"/>
          <w:lang w:eastAsia="ru-RU"/>
        </w:rPr>
        <w:t>.</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sz w:val="28"/>
          <w:szCs w:val="28"/>
          <w:lang w:eastAsia="ru-RU"/>
        </w:rPr>
        <w:t xml:space="preserve">Обращаясь к доводам </w:t>
      </w:r>
      <w:r w:rsidRPr="00790DE9">
        <w:rPr>
          <w:rFonts w:ascii="Times New Roman" w:eastAsia="Times New Roman" w:hAnsi="Times New Roman" w:cs="Times New Roman"/>
          <w:kern w:val="28"/>
          <w:sz w:val="28"/>
          <w:szCs w:val="28"/>
          <w:lang w:eastAsia="ru-RU"/>
        </w:rPr>
        <w:t xml:space="preserve">АО «Татэнерго» </w:t>
      </w:r>
      <w:r w:rsidRPr="00790DE9">
        <w:rPr>
          <w:rFonts w:ascii="Times New Roman" w:eastAsia="Times New Roman" w:hAnsi="Times New Roman" w:cs="Times New Roman"/>
          <w:sz w:val="28"/>
          <w:szCs w:val="28"/>
          <w:lang w:eastAsia="ru-RU"/>
        </w:rPr>
        <w:t>об экономической необоснованности установленных тарифов</w:t>
      </w:r>
      <w:r w:rsidRPr="00790DE9">
        <w:rPr>
          <w:rFonts w:ascii="Times New Roman" w:eastAsia="Times New Roman" w:hAnsi="Times New Roman" w:cs="Times New Roman"/>
          <w:kern w:val="28"/>
          <w:sz w:val="28"/>
          <w:szCs w:val="28"/>
          <w:lang w:eastAsia="ru-RU"/>
        </w:rPr>
        <w:t xml:space="preserve"> 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суд приходит к следующему. </w:t>
      </w:r>
    </w:p>
    <w:p w:rsidR="00790DE9" w:rsidRPr="00790DE9" w:rsidRDefault="00790DE9" w:rsidP="00790DE9">
      <w:pPr>
        <w:widowControl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color w:val="000000"/>
          <w:sz w:val="28"/>
          <w:szCs w:val="28"/>
          <w:lang w:eastAsia="ru-RU" w:bidi="ru-RU"/>
        </w:rPr>
        <w:t>В соответствии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экономически обоснованный объем финансовых средств, необходимый регулируемой организации для осуществления</w:t>
      </w:r>
      <w:r w:rsidRPr="00790DE9">
        <w:rPr>
          <w:rFonts w:ascii="Times New Roman" w:eastAsia="Calibri" w:hAnsi="Times New Roman" w:cs="Times New Roman"/>
          <w:sz w:val="26"/>
          <w:szCs w:val="26"/>
          <w:lang w:eastAsia="ru-RU"/>
        </w:rPr>
        <w:t xml:space="preserve"> </w:t>
      </w:r>
      <w:r w:rsidRPr="00790DE9">
        <w:rPr>
          <w:rFonts w:ascii="Times New Roman" w:eastAsia="Calibri" w:hAnsi="Times New Roman" w:cs="Times New Roman"/>
          <w:color w:val="000000"/>
          <w:sz w:val="28"/>
          <w:szCs w:val="28"/>
          <w:lang w:eastAsia="ru-RU" w:bidi="ru-RU"/>
        </w:rPr>
        <w:t xml:space="preserve">регулируемого вида деятельности в течение расчетного периода регулирования (пункт 2 Основ </w:t>
      </w:r>
      <w:r w:rsidRPr="00790DE9">
        <w:rPr>
          <w:rFonts w:ascii="Times New Roman" w:eastAsia="Calibri" w:hAnsi="Times New Roman" w:cs="Times New Roman"/>
          <w:sz w:val="28"/>
          <w:szCs w:val="28"/>
          <w:lang w:eastAsia="ru-RU" w:bidi="ru-RU"/>
        </w:rPr>
        <w:t>ценообразования).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В силу пункта 71</w:t>
      </w:r>
      <w:r w:rsidRPr="00790DE9">
        <w:rPr>
          <w:rFonts w:ascii="Times New Roman" w:eastAsia="Times New Roman" w:hAnsi="Times New Roman" w:cs="Times New Roman"/>
          <w:sz w:val="28"/>
          <w:szCs w:val="28"/>
          <w:lang w:eastAsia="ru-RU"/>
        </w:rPr>
        <w:t xml:space="preserve"> Основ ценообразования</w:t>
      </w:r>
      <w:r w:rsidRPr="00790DE9">
        <w:rPr>
          <w:rFonts w:ascii="Times New Roman" w:eastAsia="Calibri" w:hAnsi="Times New Roman" w:cs="Times New Roman"/>
          <w:sz w:val="28"/>
          <w:szCs w:val="28"/>
          <w:lang w:eastAsia="ru-RU"/>
        </w:rPr>
        <w:t xml:space="preserve">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20" w:history="1">
        <w:r w:rsidRPr="00790DE9">
          <w:rPr>
            <w:rFonts w:ascii="Times New Roman" w:eastAsia="Calibri" w:hAnsi="Times New Roman" w:cs="Times New Roman"/>
            <w:sz w:val="28"/>
            <w:szCs w:val="28"/>
            <w:lang w:eastAsia="ru-RU"/>
          </w:rPr>
          <w:t>пунктом 43</w:t>
        </w:r>
      </w:hyperlink>
      <w:r w:rsidRPr="00790DE9">
        <w:rPr>
          <w:rFonts w:ascii="Times New Roman" w:eastAsia="Calibri" w:hAnsi="Times New Roman" w:cs="Times New Roman"/>
          <w:sz w:val="28"/>
          <w:szCs w:val="28"/>
          <w:lang w:eastAsia="ru-RU"/>
        </w:rPr>
        <w:t xml:space="preserve"> данного документа, и нормативную прибыль регулируемой организации, а также расчетную предпринимательскую прибыль регулируемой организации.</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Согласно пояснениям сторон АО «Татэнерго» в рамках договора поставки мощности</w:t>
      </w:r>
      <w:r w:rsidRPr="00790DE9">
        <w:rPr>
          <w:rFonts w:ascii="Times New Roman" w:eastAsia="Calibri" w:hAnsi="Times New Roman" w:cs="Times New Roman"/>
          <w:sz w:val="28"/>
          <w:szCs w:val="28"/>
          <w:lang w:eastAsia="ru-RU"/>
        </w:rPr>
        <w:t xml:space="preserve"> модернизированных генерирующих объектов, утвержденного Правительством Российской Федерации</w:t>
      </w:r>
      <w:r w:rsidRPr="00790DE9">
        <w:rPr>
          <w:rFonts w:ascii="Times New Roman" w:eastAsia="Times New Roman" w:hAnsi="Times New Roman" w:cs="Times New Roman"/>
          <w:sz w:val="28"/>
          <w:szCs w:val="28"/>
          <w:lang w:eastAsia="ru-RU"/>
        </w:rPr>
        <w:t xml:space="preserve"> в 2015 - 2018 годах, на Казанской ТЭЦ - 2, а в 2018 - 2019 годах на Казанской ТЭЦ – 1 были построены и введены в эксплуатацию парогазовые установки (ПГУ). Целью строительства данных объектов является увеличение доли выработки на новых технологиях генерации, создающих полноценный резерв в условиях роста энергопотребления, и возможности значительного повышения экономичности производства электрической энергии, позволяющего обеспечить повышение конкурентоспособности компании на оптовом рынке электроэнергии и мощности, а также обеспечение жителей города Казани тепловой и электрической энергией. Отпуск тепла осуществляется в комбинированном цикле отпуска электрической и тепловой энергии и составляет 25,4% от общего отпуска тепловой энергии в зоне ЕТО-1 АО «Татэнерго» на основании факта 2022 года.</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 соответствии с абзацем шестым пункта 43 Основ ценообразования для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расходы на амортизацию основных средств и </w:t>
      </w:r>
      <w:r w:rsidRPr="00790DE9">
        <w:rPr>
          <w:rFonts w:ascii="Times New Roman" w:eastAsia="Calibri" w:hAnsi="Times New Roman" w:cs="Times New Roman"/>
          <w:sz w:val="28"/>
          <w:szCs w:val="28"/>
          <w:lang w:eastAsia="ru-RU"/>
        </w:rPr>
        <w:lastRenderedPageBreak/>
        <w:t>нематериальных активов, соответствующих мероприятиям по модернизации, указанным в этом перечне, не включаются в состав необходимой валовой выручки регулируемой организации в периоды регулирования, в которые продажа мощности соответствующих генерирующих объектов производится по результатам указанного отбора.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В письме от 7 июля 2022 года № ВК/64887/22 Федеральная антимонопольная служба указала, что определение цены по договорам поставки мощности участника оптового рынка, владеющего на праве собственности или на ином законном основании объектом генерации, осуществляет Ассоциация «НП Совет Рынка».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Данная Ассоциация в письме от 1 августа 2022 года № СР-02/22-2920 разъяснила, что на основании Правил определения цены на мощность, продаваемую по договорам о предоставлении мощности, утвержденных постановлением Правительства Российской Федерации от 13 апреля 2010 года № 238, капитальные затраты на возведение объектов генерации, в данном случае </w:t>
      </w:r>
      <w:r w:rsidRPr="00790DE9">
        <w:rPr>
          <w:rFonts w:ascii="Times New Roman" w:eastAsia="Calibri" w:hAnsi="Times New Roman" w:cs="Times New Roman"/>
          <w:sz w:val="28"/>
          <w:szCs w:val="28"/>
          <w:lang w:eastAsia="ru-RU"/>
        </w:rPr>
        <w:t xml:space="preserve">расходы на амортизацию основных средств, соответствующих мероприятиям по модернизации, эксплуатационные затраты и сумма налога на имущество организации не включаются в состав НВВ при производстве тепловой энергии, поскольку полностью компенсируются в период действия договора за счет продажи на оптовом рынке электрической энергии и мощности. </w:t>
      </w:r>
      <w:r w:rsidRPr="00790DE9">
        <w:rPr>
          <w:rFonts w:ascii="Times New Roman" w:eastAsia="Times New Roman"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Следовательно, доводы административного истца о неправомерном невключении его затрат на содержание парогазовых установок Казанской ТЭЦ-1, Казанской ТЭЦ-2, в том числе амортизации основных средств, обязательных платежей по налогу на имущество, являются необоснованными.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Суд находит несостоятельными доводы АО «Татэнерго» о неверном определении тарифным органом размера косвенных расходов по видам продукции (тепловая и электрическая энергия) на 2024 год.</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highlight w:val="yellow"/>
          <w:lang w:eastAsia="ru-RU"/>
        </w:rPr>
      </w:pPr>
      <w:r w:rsidRPr="00790DE9">
        <w:rPr>
          <w:rFonts w:ascii="Times New Roman" w:eastAsia="Times New Roman" w:hAnsi="Times New Roman" w:cs="Times New Roman"/>
          <w:kern w:val="28"/>
          <w:sz w:val="28"/>
          <w:szCs w:val="28"/>
          <w:lang w:eastAsia="ru-RU"/>
        </w:rPr>
        <w:t>Законодательство о тарифном регулировании устанавливает принцип раздельного учета организациями, осуществляющими регулируемые виды деятельности, в том числе расходов на производство передачу и сбыт по каждому виду деятельности (пункт 9 части 1 статьи 7</w:t>
      </w:r>
      <w:r w:rsidRPr="00790DE9">
        <w:rPr>
          <w:rFonts w:ascii="Times New Roman" w:eastAsia="Times New Roman" w:hAnsi="Times New Roman" w:cs="Times New Roman"/>
          <w:sz w:val="28"/>
          <w:szCs w:val="28"/>
          <w:lang w:eastAsia="ru-RU"/>
        </w:rPr>
        <w:t xml:space="preserve"> Федерального </w:t>
      </w:r>
      <w:hyperlink r:id="rId21"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а от 27 июля 2010 года № 190-ФЗ, пункт 5 Основ ценообразования, подпункт 1 пункта 102 Методических указаний).</w:t>
      </w:r>
      <w:r w:rsidRPr="00790DE9">
        <w:rPr>
          <w:rFonts w:ascii="Times New Roman" w:eastAsia="Times New Roman" w:hAnsi="Times New Roman" w:cs="Times New Roman"/>
          <w:kern w:val="28"/>
          <w:sz w:val="28"/>
          <w:szCs w:val="28"/>
          <w:lang w:eastAsia="ru-RU"/>
        </w:rPr>
        <w:t xml:space="preserve">  </w:t>
      </w:r>
      <w:r w:rsidRPr="00790DE9">
        <w:rPr>
          <w:rFonts w:ascii="Times New Roman" w:eastAsia="Times New Roman" w:hAnsi="Times New Roman" w:cs="Times New Roman"/>
          <w:kern w:val="28"/>
          <w:sz w:val="28"/>
          <w:szCs w:val="28"/>
          <w:highlight w:val="yellow"/>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Согласно пункту 103 Методических указаний к косвенным расходам относятся расходы, связанные с осуществлением деятельности по производству тепловой и электрической энергии, не отнесенные к прямым расходам.</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Распределение косвенных расходов между производством тепловой и электрической энергией осуществляется органом регулирования одним из указанных ниже способов по предложению регулируемой организации: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пропорционально полезному отпуску (или выработке) электрической и тепловой энергии;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пропорционально расходам условного топлива;</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lastRenderedPageBreak/>
        <w:t>в соответствии с учетной политикой регулируемой организации.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Учетная политика АО «Татэнерго» предусматривает распределение косвенных расходов между видами деятельности данной организации способом пропорционально расходам условного топлива. Нормативы удельного расхода топлива были установлены приказами Министерства энергетики РФ (от 29 июля 2022 года № 743, от 20 октября 2022 года № 1151, от 15 ноября 2023 года № 1050).</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 соответствии с пунктом 104 Методических указаний при применении метода индексации установленных тарифов плановые, скорректированные и фактические неподконтрольные расходы и расходы на приобретение (производство) энергетических ресурсов (за исключением топлива), холодной воды и теплоносителя на каждый год долгосрочного периода регулирования, а также базовый уровень операционных расходов, относимые на производство тепловой энергии (мощности), определяются посредством определения прямых и косвенных расходов, относимых на производство тепловой энергии (мощности) в соответствии с </w:t>
      </w:r>
      <w:hyperlink r:id="rId22" w:history="1">
        <w:r w:rsidRPr="00790DE9">
          <w:rPr>
            <w:rFonts w:ascii="Times New Roman" w:eastAsia="Calibri" w:hAnsi="Times New Roman" w:cs="Times New Roman"/>
            <w:sz w:val="28"/>
            <w:szCs w:val="28"/>
            <w:lang w:eastAsia="ru-RU"/>
          </w:rPr>
          <w:t>пунктами 102</w:t>
        </w:r>
      </w:hyperlink>
      <w:r w:rsidRPr="00790DE9">
        <w:rPr>
          <w:rFonts w:ascii="Times New Roman" w:eastAsia="Calibri" w:hAnsi="Times New Roman" w:cs="Times New Roman"/>
          <w:sz w:val="28"/>
          <w:szCs w:val="28"/>
          <w:lang w:eastAsia="ru-RU"/>
        </w:rPr>
        <w:t xml:space="preserve">, </w:t>
      </w:r>
      <w:hyperlink r:id="rId23" w:history="1">
        <w:r w:rsidRPr="00790DE9">
          <w:rPr>
            <w:rFonts w:ascii="Times New Roman" w:eastAsia="Calibri" w:hAnsi="Times New Roman" w:cs="Times New Roman"/>
            <w:sz w:val="28"/>
            <w:szCs w:val="28"/>
            <w:lang w:eastAsia="ru-RU"/>
          </w:rPr>
          <w:t>103</w:t>
        </w:r>
      </w:hyperlink>
      <w:r w:rsidRPr="00790DE9">
        <w:rPr>
          <w:rFonts w:ascii="Times New Roman" w:eastAsia="Calibri" w:hAnsi="Times New Roman" w:cs="Times New Roman"/>
          <w:sz w:val="28"/>
          <w:szCs w:val="28"/>
          <w:lang w:eastAsia="ru-RU"/>
        </w:rPr>
        <w:t xml:space="preserve"> данных Методических указаний.</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Таким образом, последовательная позиция регулирующего органа по невключению в НВВ общества расходов на амортизацию основных средств, соответствующих мероприятиям по модернизации, эксплуатационных затрат и сумм налога на имущество организации, то есть расходов по производству тепловой энергии на ПГУ, предполагает при определении значения размера косвенных расходов пропорционально расходам условного топлива не учитывать долю расходов топлива при производстве тепловой энергии на ПГУ, что должно привести к увеличению доли косвенных расходов, относимых на производство тепловой энергии. Указанное, вопреки доводам тарифного органа, не означает установление тарифа с дифференциацией по каждому источнику тепловой энергии, расположенному в пределах одной системы теплоснабжения.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Вместе с тем согласно содержанию экспертного заключения к постановлению Госкомитета от 15 декабря 2023 года № 725-81/тэ-2023 административный ответчик при расчете доли косвенных расходов на производство тепловой энергии учел долю расходов топлива при производстве тепловой энергии на ПГУ Казанских ТЭЦ – 1 и ТЭЦ – 2, что привело к снижению доли косвенных расходов, относимых на производство тепловой энергии указанными источниками тепловой энергии.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Times New Roman" w:hAnsi="Times New Roman" w:cs="Times New Roman"/>
          <w:sz w:val="28"/>
          <w:szCs w:val="28"/>
          <w:lang w:eastAsia="ru-RU"/>
        </w:rPr>
        <w:t>В соответствии с пунктами 73, 57, подпунктом «в» пункта 58 Основ ценообразования в</w:t>
      </w:r>
      <w:r w:rsidRPr="00790DE9">
        <w:rPr>
          <w:rFonts w:ascii="Times New Roman" w:eastAsia="Calibri" w:hAnsi="Times New Roman" w:cs="Times New Roman"/>
          <w:sz w:val="28"/>
          <w:szCs w:val="28"/>
          <w:lang w:eastAsia="ru-RU"/>
        </w:rPr>
        <w:t>еличина текущих расходов регулируемой организации включает в себя операционные расходы, состоящие помимо прочих из расходов на оплату труда.</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w:t>
      </w:r>
      <w:r w:rsidRPr="00790DE9">
        <w:rPr>
          <w:rFonts w:ascii="Times New Roman" w:eastAsia="Calibri" w:hAnsi="Times New Roman" w:cs="Times New Roman"/>
          <w:sz w:val="28"/>
          <w:szCs w:val="28"/>
          <w:lang w:eastAsia="ru-RU"/>
        </w:rPr>
        <w:lastRenderedPageBreak/>
        <w:t>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Однако, не оспаривая численность основного производственного персонала и административно-управленческого персонала занятых в регулируемой деятельности по производству тепловой энергии на </w:t>
      </w:r>
      <w:r w:rsidRPr="00790DE9">
        <w:rPr>
          <w:rFonts w:ascii="Times New Roman" w:eastAsia="Times New Roman" w:hAnsi="Times New Roman" w:cs="Times New Roman"/>
          <w:kern w:val="28"/>
          <w:sz w:val="28"/>
          <w:szCs w:val="28"/>
          <w:lang w:eastAsia="ru-RU"/>
        </w:rPr>
        <w:t>Казанская ТЭЦ-1, Казанская ТЭЦ-2</w:t>
      </w:r>
      <w:r w:rsidRPr="00790DE9">
        <w:rPr>
          <w:rFonts w:ascii="Times New Roman" w:eastAsia="Calibri" w:hAnsi="Times New Roman" w:cs="Times New Roman"/>
          <w:sz w:val="28"/>
          <w:szCs w:val="28"/>
          <w:lang w:eastAsia="ru-RU"/>
        </w:rPr>
        <w:t xml:space="preserve">,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Вместе с тем, при обращении в Единую межведомственную информационно – статистическую систему (ЕМИСС, </w:t>
      </w:r>
      <w:r w:rsidRPr="00790DE9">
        <w:rPr>
          <w:rFonts w:ascii="Times New Roman" w:eastAsia="Calibri" w:hAnsi="Times New Roman" w:cs="Times New Roman"/>
          <w:sz w:val="28"/>
          <w:szCs w:val="28"/>
          <w:lang w:val="en-US" w:eastAsia="ru-RU"/>
        </w:rPr>
        <w:t>http</w:t>
      </w:r>
      <w:r w:rsidRPr="00790DE9">
        <w:rPr>
          <w:rFonts w:ascii="Times New Roman" w:eastAsia="Calibri" w:hAnsi="Times New Roman" w:cs="Times New Roman"/>
          <w:sz w:val="28"/>
          <w:szCs w:val="28"/>
          <w:lang w:eastAsia="ru-RU"/>
        </w:rPr>
        <w:t>:</w:t>
      </w:r>
      <w:r w:rsidRPr="00790DE9">
        <w:rPr>
          <w:rFonts w:ascii="Times New Roman" w:eastAsia="Calibri" w:hAnsi="Times New Roman" w:cs="Times New Roman"/>
          <w:sz w:val="28"/>
          <w:szCs w:val="28"/>
          <w:lang w:val="en-US" w:eastAsia="ru-RU"/>
        </w:rPr>
        <w:t>fedstat</w:t>
      </w:r>
      <w:r w:rsidRPr="00790DE9">
        <w:rPr>
          <w:rFonts w:ascii="Times New Roman" w:eastAsia="Calibri" w:hAnsi="Times New Roman" w:cs="Times New Roman"/>
          <w:sz w:val="28"/>
          <w:szCs w:val="28"/>
          <w:lang w:eastAsia="ru-RU"/>
        </w:rPr>
        <w:t>.</w:t>
      </w:r>
      <w:r w:rsidRPr="00790DE9">
        <w:rPr>
          <w:rFonts w:ascii="Times New Roman" w:eastAsia="Calibri" w:hAnsi="Times New Roman" w:cs="Times New Roman"/>
          <w:sz w:val="28"/>
          <w:szCs w:val="28"/>
          <w:lang w:val="en-US" w:eastAsia="ru-RU"/>
        </w:rPr>
        <w:t>ru</w:t>
      </w:r>
      <w:r w:rsidRPr="00790DE9">
        <w:rPr>
          <w:rFonts w:ascii="Times New Roman" w:eastAsia="Calibri" w:hAnsi="Times New Roman" w:cs="Times New Roman"/>
          <w:sz w:val="28"/>
          <w:szCs w:val="28"/>
          <w:lang w:eastAsia="ru-RU"/>
        </w:rPr>
        <w:t xml:space="preserve"> / Ведомства / Федеральная служба государственной статистики / 1.30 Рынок труда / 1.30.1 Численность и начисленная заработная плата работников организаций / Средняя номинальная начисленная заработная плата работников организаций (без субъектов малого предпринимательства) с 2017 года) установлено, что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w:t>
      </w:r>
      <w:r w:rsidRPr="00790DE9">
        <w:rPr>
          <w:rFonts w:ascii="Times New Roman" w:eastAsia="Calibri" w:hAnsi="Times New Roman" w:cs="Times New Roman"/>
          <w:sz w:val="28"/>
          <w:szCs w:val="28"/>
          <w:lang w:eastAsia="ru-RU"/>
        </w:rPr>
        <w:lastRenderedPageBreak/>
        <w:t>муниципальных образованиях Республики Татарстан за январь - декабрь 2022 года составляет 54 582,9 рубля.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Таким образом, органом регулирования, вопреки положениям статьи 62 Кодекса административного судопроизводства Российской Федерации, не представлено доказательств о принятых им фактических показателях за 2022 год о размере среднемесячной заработной платы в размере 57 591,17 рубля. При этом суд отмечает, что Федеральная служба государственной статистики не подтверждает указанные показатели.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sidRPr="00790DE9">
        <w:rPr>
          <w:rFonts w:ascii="Times New Roman" w:eastAsia="Times New Roman" w:hAnsi="Times New Roman" w:cs="Times New Roman"/>
          <w:sz w:val="28"/>
          <w:szCs w:val="28"/>
          <w:lang w:eastAsia="ru-RU"/>
        </w:rPr>
        <w:t xml:space="preserve"> Основ ценообразования)</w:t>
      </w:r>
      <w:r w:rsidRPr="00790DE9">
        <w:rPr>
          <w:rFonts w:ascii="Times New Roman" w:eastAsia="Calibri" w:hAnsi="Times New Roman" w:cs="Times New Roman"/>
          <w:sz w:val="28"/>
          <w:szCs w:val="28"/>
          <w:lang w:eastAsia="ru-RU"/>
        </w:rPr>
        <w:t>.</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предложению об установлении цен (тарифов) на 2025 год, представленному в соответствии с </w:t>
      </w:r>
      <w:hyperlink r:id="rId24" w:history="1">
        <w:r w:rsidRPr="00790DE9">
          <w:rPr>
            <w:rFonts w:ascii="Times New Roman" w:eastAsia="Calibri" w:hAnsi="Times New Roman" w:cs="Times New Roman"/>
            <w:sz w:val="28"/>
            <w:szCs w:val="28"/>
            <w:lang w:eastAsia="ru-RU"/>
          </w:rPr>
          <w:t>Правилами</w:t>
        </w:r>
      </w:hyperlink>
      <w:r w:rsidRPr="00790DE9">
        <w:rPr>
          <w:rFonts w:ascii="Times New Roman" w:eastAsia="Calibri" w:hAnsi="Times New Roman" w:cs="Times New Roman"/>
          <w:sz w:val="28"/>
          <w:szCs w:val="28"/>
          <w:lang w:eastAsia="ru-RU"/>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(пункт 59 (1) Основ ценообразования).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Такое заявление было дополнительно направлено АО «Татэнерго» в адрес Госкомитета 19 декабря 2024 года, то есть своевременно.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Таким образом, в связи с неверным расчетом размера расходов на оплату труда</w:t>
      </w:r>
      <w:r w:rsidRPr="00790DE9">
        <w:rPr>
          <w:rFonts w:ascii="Times New Roman" w:eastAsia="Calibri" w:hAnsi="Times New Roman" w:cs="Times New Roman"/>
          <w:sz w:val="28"/>
          <w:szCs w:val="28"/>
          <w:lang w:eastAsia="ru-RU"/>
        </w:rPr>
        <w:t xml:space="preserve"> при </w:t>
      </w:r>
      <w:r w:rsidRPr="00790DE9">
        <w:rPr>
          <w:rFonts w:ascii="Times New Roman" w:eastAsia="Times New Roman" w:hAnsi="Times New Roman" w:cs="Times New Roman"/>
          <w:sz w:val="28"/>
          <w:szCs w:val="28"/>
          <w:lang w:eastAsia="ru-RU"/>
        </w:rPr>
        <w:t>определении</w:t>
      </w:r>
      <w:r w:rsidRPr="00790DE9">
        <w:rPr>
          <w:rFonts w:ascii="Times New Roman" w:eastAsia="Calibri" w:hAnsi="Times New Roman" w:cs="Times New Roman"/>
          <w:sz w:val="28"/>
          <w:szCs w:val="28"/>
          <w:lang w:eastAsia="ru-RU"/>
        </w:rPr>
        <w:t xml:space="preserve"> базового уровня операционных расходов</w:t>
      </w:r>
      <w:r w:rsidRPr="00790DE9">
        <w:rPr>
          <w:rFonts w:ascii="Times New Roman" w:eastAsia="Times New Roman" w:hAnsi="Times New Roman" w:cs="Times New Roman"/>
          <w:sz w:val="28"/>
          <w:szCs w:val="28"/>
          <w:lang w:eastAsia="ru-RU"/>
        </w:rPr>
        <w:t xml:space="preserve"> на долгосрочный период регулирования, неправильным является размер таких расходов, принятый органом регулирования при корректировке оспариваемых тарифов на 2025 год.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Согласно подпункту «б» пункта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оплату работ и услуг, выполняемых по договорам, заключенным со сторонними организациями или индивидуальными предпринимателями, которые определяются исходя из плановых (расчетных) значений цен и экономически обоснованных объемов работ (услуг).</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Согласно </w:t>
      </w:r>
      <w:hyperlink r:id="rId25" w:history="1">
        <w:r w:rsidRPr="00790DE9">
          <w:rPr>
            <w:rFonts w:ascii="Times New Roman" w:eastAsia="Calibri" w:hAnsi="Times New Roman" w:cs="Times New Roman"/>
            <w:sz w:val="28"/>
            <w:szCs w:val="28"/>
            <w:lang w:eastAsia="ru-RU"/>
          </w:rPr>
          <w:t>подпункту «и» пункта 16</w:t>
        </w:r>
      </w:hyperlink>
      <w:r w:rsidRPr="00790DE9">
        <w:rPr>
          <w:rFonts w:ascii="Times New Roman" w:eastAsia="Calibri" w:hAnsi="Times New Roman" w:cs="Times New Roman"/>
          <w:sz w:val="28"/>
          <w:szCs w:val="28"/>
          <w:lang w:eastAsia="ru-RU"/>
        </w:rPr>
        <w:t xml:space="preserve"> Правил регулирования к заявлению об установлении цен (тарифов) прилагаются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Данное требование </w:t>
      </w:r>
      <w:hyperlink r:id="rId26" w:history="1">
        <w:r w:rsidRPr="00790DE9">
          <w:rPr>
            <w:rFonts w:ascii="Times New Roman" w:eastAsia="Calibri" w:hAnsi="Times New Roman" w:cs="Times New Roman"/>
            <w:sz w:val="28"/>
            <w:szCs w:val="28"/>
            <w:lang w:eastAsia="ru-RU"/>
          </w:rPr>
          <w:t>Правил</w:t>
        </w:r>
      </w:hyperlink>
      <w:r w:rsidRPr="00790DE9">
        <w:rPr>
          <w:rFonts w:ascii="Times New Roman" w:eastAsia="Calibri" w:hAnsi="Times New Roman" w:cs="Times New Roman"/>
          <w:sz w:val="28"/>
          <w:szCs w:val="28"/>
          <w:lang w:eastAsia="ru-RU"/>
        </w:rPr>
        <w:t xml:space="preserve"> согласуется с положениями, содержащимися в подпункте «б» пункт 28 Основ ценообразования, </w:t>
      </w:r>
      <w:r w:rsidRPr="00790DE9">
        <w:rPr>
          <w:rFonts w:ascii="Times New Roman" w:eastAsia="Calibri" w:hAnsi="Times New Roman" w:cs="Times New Roman"/>
          <w:sz w:val="28"/>
          <w:szCs w:val="28"/>
          <w:lang w:eastAsia="ru-RU"/>
        </w:rPr>
        <w:lastRenderedPageBreak/>
        <w:t>поскольку экономическая обоснованность цен, установленных в договорах, заключенных в результате проведения торгов, обеспечивается проведением конкурсных процедур.</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Согласно пункту 31 Основ ценообразования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При подаче тарифной заявки об установлении долгосрочных тарифов на 2024-2028 годы АО «Татэнерго» по статье расходов «затраты на услуги по уборке помещений и территорий (клининг)» заявлено 13 889,25 тысячи рублей по Казанской ТЭЦ – 1 и 6 555,47 тысячи рублей по Казанской ТЭЦ – 2.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Госкомитетом в НВВ общества данные расходы не были включены, так как учтены затраты на приобретение хозяйственного инвентаря. Регулятором на основании анализа объема выполняемых работ, частоты уборки, специфики помещений, подлежащих уборке, сделан вывод о невозможности (нереальности) оказания услуг по уборке всех помещений Казанских ТЭЦ – 1, ТЭЦ – 2 в соответствии с представленными регулируемой организацией договорами от 11 ноября 2021 года № Д313/405 с обществом с ограниченной ответственностью (далее - ООО) «Дока-Клининг», от 11 апреля 2023 года № Д311-124 с ООО «УК «Астэр».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Вместе с тем данные выводы тарифного органа являются надуманными, сделанными без учета фактических обстоятельств тарифного дела, в том числе факта отсутствия в штатных расписаниях Казанской ТЭЦ-1, Казанской ТЭЦ-2 должностей уборщиков помещений.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Таким образом, вопреки утверждению административного ответчика в его распоряжении имелись необходимые документы упомянутые договоры от 11 ноября 2021 года № Д313/405, от 11 апреля 2023 года № Д311-124, заключенные по результатам проведения конкурсных процедур, что предоставляло ему возможность произвести расчет расходов общества на оплату услуг по уборке помещений и прилегающей территории</w:t>
      </w:r>
      <w:r w:rsidRPr="00790DE9">
        <w:rPr>
          <w:rFonts w:ascii="Times New Roman" w:eastAsia="Calibri" w:hAnsi="Times New Roman" w:cs="Times New Roman"/>
          <w:sz w:val="28"/>
          <w:szCs w:val="28"/>
          <w:lang w:eastAsia="ru-RU"/>
        </w:rPr>
        <w:t xml:space="preserve"> на основании фактически понесенных затрат за 2022 год с увеличением на размер</w:t>
      </w:r>
      <w:r w:rsidRPr="00790DE9">
        <w:rPr>
          <w:rFonts w:ascii="Times New Roman" w:eastAsia="Times New Roman" w:hAnsi="Times New Roman" w:cs="Times New Roman"/>
          <w:kern w:val="28"/>
          <w:sz w:val="28"/>
          <w:szCs w:val="28"/>
          <w:lang w:eastAsia="ru-RU"/>
        </w:rPr>
        <w:t xml:space="preserve"> индекса потребительских цен в рамках прогноза социально-экономического развития.</w:t>
      </w:r>
      <w:r w:rsidRPr="00790DE9">
        <w:rPr>
          <w:rFonts w:ascii="Times New Roman" w:eastAsia="Calibri" w:hAnsi="Times New Roman" w:cs="Times New Roman"/>
          <w:sz w:val="28"/>
          <w:szCs w:val="28"/>
          <w:lang w:eastAsia="ru-RU"/>
        </w:rPr>
        <w:t xml:space="preserve"> </w:t>
      </w:r>
      <w:r w:rsidRPr="00790DE9">
        <w:rPr>
          <w:rFonts w:ascii="Times New Roman" w:eastAsia="Times New Roman" w:hAnsi="Times New Roman" w:cs="Times New Roman"/>
          <w:kern w:val="28"/>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При корректировке тарифов на 2025 год АО «Татэнерго» для включения в состав НВВ заявлены расходы по договору водопользования от 19 июня 2018 года № 1391Д/18, заключенному с Министерством экологии и природных ресурсов Республики Татарстан, для забора (изъятия) водных ресурсов из водного объекта и возврата воды в водный объект для производственно-технических нужд (охлаждения оборудования), договору водопользования от 29 июня 2018 года, заключенному с Нижне-Волжским </w:t>
      </w:r>
      <w:r w:rsidRPr="00790DE9">
        <w:rPr>
          <w:rFonts w:ascii="Times New Roman" w:eastAsia="Times New Roman" w:hAnsi="Times New Roman" w:cs="Times New Roman"/>
          <w:kern w:val="28"/>
          <w:sz w:val="28"/>
          <w:szCs w:val="28"/>
          <w:lang w:eastAsia="ru-RU"/>
        </w:rPr>
        <w:lastRenderedPageBreak/>
        <w:t xml:space="preserve">бассейновым водным управлением Федерального агентства водных ресурсов, для использования водного объекта для забора (изъятия) водных ресурсов из поверхностных водных объектов.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Данными договорами размер платы за пользование водными объектами определен как произведение объема забора (изъятия) водных ресурсов и ставки платы за пользование водным объектом, которая определяется постановлением Правительства Российской Федерации.</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Не оспаривая необходимость использования воды при производстве тепловой энергии и исключительность способа приобретения водных ресурсов из источников, в том числе производственного (хозяйственно-бытового) водоснабжения, орган регулирования отказывает во включении в НВВ общества данных расходов, неправомерно настаивая на непредставлении регулируемой организацией сведений о размере амортизации и налога на имущество по упомянутым договорам водопользования.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Times New Roman" w:hAnsi="Times New Roman" w:cs="Times New Roman"/>
          <w:sz w:val="28"/>
          <w:szCs w:val="28"/>
          <w:lang w:eastAsia="ru-RU"/>
        </w:rPr>
        <w:t>Согласно пункту 73 Основ ценообразования в</w:t>
      </w:r>
      <w:r w:rsidRPr="00790DE9">
        <w:rPr>
          <w:rFonts w:ascii="Times New Roman" w:eastAsia="Calibri" w:hAnsi="Times New Roman" w:cs="Times New Roman"/>
          <w:sz w:val="28"/>
          <w:szCs w:val="28"/>
          <w:lang w:eastAsia="ru-RU"/>
        </w:rPr>
        <w:t xml:space="preserve">еличина неподконтрольных расходов определяется в соответствии с </w:t>
      </w:r>
      <w:hyperlink r:id="rId27" w:history="1">
        <w:r w:rsidRPr="00790DE9">
          <w:rPr>
            <w:rFonts w:ascii="Times New Roman" w:eastAsia="Calibri" w:hAnsi="Times New Roman" w:cs="Times New Roman"/>
            <w:sz w:val="28"/>
            <w:szCs w:val="28"/>
            <w:lang w:eastAsia="ru-RU"/>
          </w:rPr>
          <w:t>пунктом 62</w:t>
        </w:r>
      </w:hyperlink>
      <w:r w:rsidRPr="00790DE9">
        <w:rPr>
          <w:rFonts w:ascii="Times New Roman" w:eastAsia="Calibri" w:hAnsi="Times New Roman" w:cs="Times New Roman"/>
          <w:sz w:val="28"/>
          <w:szCs w:val="28"/>
          <w:lang w:eastAsia="ru-RU"/>
        </w:rPr>
        <w:t xml:space="preserve"> настоящего документа и включает, помимо прочих, величину амортизации основных средств.</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8" w:history="1">
        <w:r w:rsidRPr="00790DE9">
          <w:rPr>
            <w:rFonts w:ascii="Times New Roman" w:eastAsia="Calibri" w:hAnsi="Times New Roman" w:cs="Times New Roman"/>
            <w:sz w:val="28"/>
            <w:szCs w:val="28"/>
            <w:lang w:eastAsia="ru-RU"/>
          </w:rPr>
          <w:t>методическими указаниями</w:t>
        </w:r>
      </w:hyperlink>
      <w:r w:rsidRPr="00790DE9">
        <w:rPr>
          <w:rFonts w:ascii="Times New Roman" w:eastAsia="Calibri" w:hAnsi="Times New Roman" w:cs="Times New Roman"/>
          <w:sz w:val="28"/>
          <w:szCs w:val="28"/>
          <w:lang w:eastAsia="ru-RU"/>
        </w:rPr>
        <w:t xml:space="preserve"> с учетом особенностей, предусмотренных </w:t>
      </w:r>
      <w:hyperlink r:id="rId29" w:history="1">
        <w:r w:rsidRPr="00790DE9">
          <w:rPr>
            <w:rFonts w:ascii="Times New Roman" w:eastAsia="Calibri" w:hAnsi="Times New Roman" w:cs="Times New Roman"/>
            <w:sz w:val="28"/>
            <w:szCs w:val="28"/>
            <w:lang w:eastAsia="ru-RU"/>
          </w:rPr>
          <w:t>пунктом 43</w:t>
        </w:r>
      </w:hyperlink>
      <w:r w:rsidRPr="00790DE9">
        <w:rPr>
          <w:rFonts w:ascii="Times New Roman" w:eastAsia="Calibri" w:hAnsi="Times New Roman" w:cs="Times New Roman"/>
          <w:sz w:val="28"/>
          <w:szCs w:val="28"/>
          <w:lang w:eastAsia="ru-RU"/>
        </w:rPr>
        <w:t xml:space="preserve"> настоящего документа.</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В соответствии с пунктом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30" w:history="1">
        <w:r w:rsidRPr="00790DE9">
          <w:rPr>
            <w:rFonts w:ascii="Times New Roman" w:eastAsia="Calibri" w:hAnsi="Times New Roman" w:cs="Times New Roman"/>
            <w:sz w:val="28"/>
            <w:szCs w:val="28"/>
            <w:lang w:eastAsia="ru-RU"/>
          </w:rPr>
          <w:t>Классификацией</w:t>
        </w:r>
      </w:hyperlink>
      <w:r w:rsidRPr="00790DE9">
        <w:rPr>
          <w:rFonts w:ascii="Times New Roman" w:eastAsia="Calibri" w:hAnsi="Times New Roman" w:cs="Times New Roman"/>
          <w:sz w:val="28"/>
          <w:szCs w:val="28"/>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При утверждении НВВ на 2025 год по статье </w:t>
      </w:r>
      <w:r w:rsidRPr="00790DE9">
        <w:rPr>
          <w:rFonts w:ascii="Times New Roman" w:eastAsia="Times New Roman" w:hAnsi="Times New Roman" w:cs="Times New Roman"/>
          <w:kern w:val="28"/>
          <w:sz w:val="28"/>
          <w:szCs w:val="28"/>
          <w:lang w:eastAsia="ru-RU"/>
        </w:rPr>
        <w:t xml:space="preserve">«расходы на амортизацию основных средств» </w:t>
      </w:r>
      <w:r w:rsidRPr="00790DE9">
        <w:rPr>
          <w:rFonts w:ascii="Times New Roman" w:eastAsia="Times New Roman" w:hAnsi="Times New Roman" w:cs="Times New Roman"/>
          <w:sz w:val="28"/>
          <w:szCs w:val="28"/>
          <w:lang w:eastAsia="ru-RU"/>
        </w:rPr>
        <w:t xml:space="preserve">Госкомитетом были учтены расходы на амортизационные отчисления исходя из фактически сложившейся стоимости основных средств </w:t>
      </w:r>
      <w:r w:rsidRPr="00790DE9">
        <w:rPr>
          <w:rFonts w:ascii="Times New Roman" w:eastAsia="Times New Roman" w:hAnsi="Times New Roman" w:cs="Times New Roman"/>
          <w:sz w:val="28"/>
          <w:szCs w:val="28"/>
          <w:lang w:eastAsia="ru-RU"/>
        </w:rPr>
        <w:lastRenderedPageBreak/>
        <w:t xml:space="preserve">в 2023 году с учетом стоимости введенных основных средств в 2023 году в доле, приходящейся на тепловую энергию, по Казанской ТЭЦ – 1 в размере 34 681,44 тысячи рублей, Казанской ТЭЦ - 2 в размере 224 365,78 тысячи рублей из заявленных обществом 539 400,89 тысячи рублей.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sz w:val="28"/>
          <w:szCs w:val="28"/>
          <w:lang w:eastAsia="ru-RU"/>
        </w:rPr>
        <w:t>Основаниями для отказа в принятии в заявленном размере упомянутых расходов административным ответчиком указано два обстоятельства: отсутствие экономического обоснования</w:t>
      </w:r>
      <w:r w:rsidRPr="00790DE9">
        <w:rPr>
          <w:rFonts w:ascii="Times New Roman" w:eastAsia="Times New Roman" w:hAnsi="Times New Roman" w:cs="Times New Roman"/>
          <w:kern w:val="28"/>
          <w:sz w:val="28"/>
          <w:szCs w:val="28"/>
          <w:lang w:eastAsia="ru-RU"/>
        </w:rPr>
        <w:t xml:space="preserve">; 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Недочеты или противоречия в представленных административным истцом документах (инвентарных карточках, актах)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Согласно </w:t>
      </w:r>
      <w:hyperlink r:id="rId31" w:history="1">
        <w:r w:rsidRPr="00790DE9">
          <w:rPr>
            <w:rFonts w:ascii="Times New Roman" w:eastAsia="Times New Roman" w:hAnsi="Times New Roman" w:cs="Times New Roman"/>
            <w:sz w:val="28"/>
            <w:szCs w:val="28"/>
            <w:lang w:eastAsia="ru-RU"/>
          </w:rPr>
          <w:t>пункту 20</w:t>
        </w:r>
      </w:hyperlink>
      <w:r w:rsidRPr="00790DE9">
        <w:rPr>
          <w:rFonts w:ascii="Times New Roman" w:eastAsia="Times New Roman" w:hAnsi="Times New Roman" w:cs="Times New Roman"/>
          <w:sz w:val="28"/>
          <w:szCs w:val="28"/>
          <w:lang w:eastAsia="ru-RU"/>
        </w:rPr>
        <w:t xml:space="preserve"> Правил регулирования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Представители тарифного органа в судебном заседании утверждали, что дополнительная информация по статье расходов </w:t>
      </w:r>
      <w:r w:rsidRPr="00790DE9">
        <w:rPr>
          <w:rFonts w:ascii="Times New Roman" w:eastAsia="Times New Roman" w:hAnsi="Times New Roman" w:cs="Times New Roman"/>
          <w:kern w:val="28"/>
          <w:sz w:val="28"/>
          <w:szCs w:val="28"/>
          <w:lang w:eastAsia="ru-RU"/>
        </w:rPr>
        <w:t>«расходы на амортизацию основных средств»</w:t>
      </w:r>
      <w:r w:rsidRPr="00790DE9">
        <w:rPr>
          <w:rFonts w:ascii="Times New Roman" w:eastAsia="Times New Roman" w:hAnsi="Times New Roman" w:cs="Times New Roman"/>
          <w:sz w:val="28"/>
          <w:szCs w:val="28"/>
          <w:lang w:eastAsia="ru-RU"/>
        </w:rPr>
        <w:t xml:space="preserve"> не запрашивалась</w:t>
      </w:r>
      <w:r w:rsidRPr="00790DE9">
        <w:rPr>
          <w:rFonts w:ascii="Times New Roman" w:eastAsia="Times New Roman" w:hAnsi="Times New Roman" w:cs="Times New Roman"/>
          <w:kern w:val="28"/>
          <w:sz w:val="28"/>
          <w:szCs w:val="28"/>
          <w:lang w:eastAsia="ru-RU"/>
        </w:rPr>
        <w:t>. Неполнота представленных документов, по мнению уполномоченного лица</w:t>
      </w:r>
      <w:r w:rsidRPr="00790DE9">
        <w:rPr>
          <w:rFonts w:ascii="Times New Roman" w:eastAsia="Times New Roman" w:hAnsi="Times New Roman" w:cs="Times New Roman"/>
          <w:sz w:val="28"/>
          <w:szCs w:val="28"/>
          <w:lang w:eastAsia="ru-RU"/>
        </w:rPr>
        <w:t xml:space="preserve"> по тарифному делу</w:t>
      </w:r>
      <w:r w:rsidRPr="00790DE9">
        <w:rPr>
          <w:rFonts w:ascii="Times New Roman" w:eastAsia="Times New Roman" w:hAnsi="Times New Roman" w:cs="Times New Roman"/>
          <w:kern w:val="28"/>
          <w:sz w:val="28"/>
          <w:szCs w:val="28"/>
          <w:lang w:eastAsia="ru-RU"/>
        </w:rPr>
        <w:t xml:space="preserve"> Госкомитета, была доведена до сведения работников общества неформально. </w:t>
      </w:r>
      <w:r w:rsidRPr="00790DE9">
        <w:rPr>
          <w:rFonts w:ascii="Times New Roman" w:eastAsia="Times New Roman"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учитывая отсутствие в экспертном заключении обоснования недостатков документов, подтверждающих спорные расходы, Комитет должен был предложить регулируемой организации представить дополнительные материалы.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Общими принципами организации отношений в сфере теплоснабжения, помимо прочего, являются соблюдение баланса экономических интересов теплоснабжающих организаций и интересов потребителей; обеспечение недискриминационных и стабильных условий осуществления предпринимательской деятельности в сфере теплоснабжения </w:t>
      </w:r>
      <w:r w:rsidRPr="00790DE9">
        <w:rPr>
          <w:rFonts w:ascii="Times New Roman" w:eastAsia="Times New Roman" w:hAnsi="Times New Roman" w:cs="Times New Roman"/>
          <w:sz w:val="28"/>
          <w:szCs w:val="28"/>
          <w:lang w:eastAsia="ru-RU"/>
        </w:rPr>
        <w:lastRenderedPageBreak/>
        <w:t xml:space="preserve">(пункты 5, 7 части 1 </w:t>
      </w:r>
      <w:hyperlink r:id="rId32" w:history="1">
        <w:r w:rsidRPr="00790DE9">
          <w:rPr>
            <w:rFonts w:ascii="Times New Roman" w:eastAsia="Times New Roman" w:hAnsi="Times New Roman" w:cs="Times New Roman"/>
            <w:sz w:val="28"/>
            <w:szCs w:val="28"/>
            <w:lang w:eastAsia="ru-RU"/>
          </w:rPr>
          <w:t>статьи 3</w:t>
        </w:r>
      </w:hyperlink>
      <w:r w:rsidRPr="00790DE9">
        <w:rPr>
          <w:rFonts w:ascii="Times New Roman" w:eastAsia="Times New Roman" w:hAnsi="Times New Roman" w:cs="Times New Roman"/>
          <w:sz w:val="28"/>
          <w:szCs w:val="28"/>
          <w:lang w:eastAsia="ru-RU"/>
        </w:rPr>
        <w:t xml:space="preserve"> Федерального </w:t>
      </w:r>
      <w:hyperlink r:id="rId33" w:history="1">
        <w:r w:rsidRPr="00790DE9">
          <w:rPr>
            <w:rFonts w:ascii="Times New Roman" w:eastAsia="Times New Roman" w:hAnsi="Times New Roman" w:cs="Times New Roman"/>
            <w:sz w:val="28"/>
            <w:szCs w:val="28"/>
            <w:lang w:eastAsia="ru-RU"/>
          </w:rPr>
          <w:t>закон</w:t>
        </w:r>
      </w:hyperlink>
      <w:r w:rsidRPr="00790DE9">
        <w:rPr>
          <w:rFonts w:ascii="Times New Roman" w:eastAsia="Times New Roman" w:hAnsi="Times New Roman" w:cs="Times New Roman"/>
          <w:sz w:val="28"/>
          <w:szCs w:val="28"/>
          <w:lang w:eastAsia="ru-RU"/>
        </w:rPr>
        <w:t>а от 27 июля 2010 года № 190-ФЗ).</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Исходя из указанных принципов подход тарифного органа должен быть предсказуемым для регулируемой организации и не создавать непреодолимых препятствий для установления экономически обоснованного тарифа.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sidRPr="00790DE9">
        <w:rPr>
          <w:rFonts w:ascii="Times New Roman" w:eastAsia="Times New Roman" w:hAnsi="Times New Roman" w:cs="Times New Roman"/>
          <w:kern w:val="28"/>
          <w:sz w:val="28"/>
          <w:szCs w:val="28"/>
          <w:lang w:eastAsia="ru-RU"/>
        </w:rPr>
        <w:t>«расходы на амортизацию основных средств»</w:t>
      </w:r>
      <w:r w:rsidRPr="00790DE9">
        <w:rPr>
          <w:rFonts w:ascii="Times New Roman" w:eastAsia="Times New Roman" w:hAnsi="Times New Roman" w:cs="Times New Roman"/>
          <w:sz w:val="28"/>
          <w:szCs w:val="28"/>
          <w:lang w:eastAsia="ru-RU"/>
        </w:rPr>
        <w:t>, тарифный орган существенно нарушил принципы тарифного регулирования в сфере теплоснабжения.</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Вместе с тем, по мнению суда, при расчете экономически обоснованного размера амортизации на 2025 год регулирования срок полезного использования активов и отнесение этих активов к соответствующей амортизационной группе должен определяться органами регулирования в соответствии с максимальными сроками полезного использования, установленными </w:t>
      </w:r>
      <w:hyperlink r:id="rId34" w:history="1">
        <w:r w:rsidRPr="00790DE9">
          <w:rPr>
            <w:rFonts w:ascii="Times New Roman" w:eastAsia="Times New Roman" w:hAnsi="Times New Roman" w:cs="Times New Roman"/>
            <w:sz w:val="28"/>
            <w:szCs w:val="28"/>
            <w:lang w:eastAsia="ru-RU"/>
          </w:rPr>
          <w:t>Классификацией</w:t>
        </w:r>
      </w:hyperlink>
      <w:r w:rsidRPr="00790DE9">
        <w:rPr>
          <w:rFonts w:ascii="Times New Roman" w:eastAsia="Times New Roman" w:hAnsi="Times New Roman" w:cs="Times New Roman"/>
          <w:sz w:val="28"/>
          <w:szCs w:val="28"/>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и согласуется с положениями пункта 43 Основ ценообразования.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35" w:history="1">
        <w:r w:rsidRPr="00790DE9">
          <w:rPr>
            <w:rFonts w:ascii="Times New Roman" w:eastAsia="Calibri" w:hAnsi="Times New Roman" w:cs="Times New Roman"/>
            <w:sz w:val="28"/>
            <w:szCs w:val="28"/>
            <w:lang w:eastAsia="ru-RU"/>
          </w:rPr>
          <w:t>пункт 71</w:t>
        </w:r>
      </w:hyperlink>
      <w:r w:rsidRPr="00790DE9">
        <w:rPr>
          <w:rFonts w:ascii="Times New Roman" w:eastAsia="Calibri" w:hAnsi="Times New Roman" w:cs="Times New Roman"/>
          <w:sz w:val="28"/>
          <w:szCs w:val="28"/>
          <w:lang w:eastAsia="ru-RU"/>
        </w:rPr>
        <w:t xml:space="preserve"> Основ ценообразования), которая, в свою очередь, включает в себя, помимо прочих,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6" w:history="1">
        <w:r w:rsidRPr="00790DE9">
          <w:rPr>
            <w:rFonts w:ascii="Times New Roman" w:eastAsia="Calibri" w:hAnsi="Times New Roman" w:cs="Times New Roman"/>
            <w:sz w:val="28"/>
            <w:szCs w:val="28"/>
            <w:lang w:eastAsia="ru-RU"/>
          </w:rPr>
          <w:t>кодексом</w:t>
        </w:r>
      </w:hyperlink>
      <w:r w:rsidRPr="00790DE9">
        <w:rPr>
          <w:rFonts w:ascii="Times New Roman" w:eastAsia="Calibri" w:hAnsi="Times New Roman" w:cs="Times New Roman"/>
          <w:sz w:val="28"/>
          <w:szCs w:val="28"/>
          <w:lang w:eastAsia="ru-RU"/>
        </w:rPr>
        <w:t xml:space="preserve"> Российской Федерации (</w:t>
      </w:r>
      <w:hyperlink r:id="rId37" w:history="1">
        <w:r w:rsidRPr="00790DE9">
          <w:rPr>
            <w:rFonts w:ascii="Times New Roman" w:eastAsia="Calibri" w:hAnsi="Times New Roman" w:cs="Times New Roman"/>
            <w:sz w:val="28"/>
            <w:szCs w:val="28"/>
            <w:lang w:eastAsia="ru-RU"/>
          </w:rPr>
          <w:t>пункт 74</w:t>
        </w:r>
      </w:hyperlink>
      <w:r w:rsidRPr="00790DE9">
        <w:rPr>
          <w:rFonts w:ascii="Times New Roman" w:eastAsia="Calibri" w:hAnsi="Times New Roman" w:cs="Times New Roman"/>
          <w:sz w:val="28"/>
          <w:szCs w:val="28"/>
          <w:lang w:eastAsia="ru-RU"/>
        </w:rPr>
        <w:t xml:space="preserve"> Основ ценообразования).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Согласно пункту 41 Методических указаний нормативная прибыль определяется в соответствии с </w:t>
      </w:r>
      <w:hyperlink w:anchor="Par1" w:history="1">
        <w:r w:rsidRPr="00790DE9">
          <w:rPr>
            <w:rFonts w:ascii="Times New Roman" w:eastAsia="Calibri" w:hAnsi="Times New Roman" w:cs="Times New Roman"/>
            <w:sz w:val="28"/>
            <w:szCs w:val="28"/>
            <w:lang w:eastAsia="ru-RU"/>
          </w:rPr>
          <w:t>формулой 12.1</w:t>
        </w:r>
      </w:hyperlink>
      <w:r w:rsidRPr="00790DE9">
        <w:rPr>
          <w:rFonts w:ascii="Times New Roman" w:eastAsia="Calibri"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bookmarkStart w:id="1" w:name="Par1"/>
      <w:bookmarkEnd w:id="1"/>
      <w:r w:rsidRPr="00790DE9">
        <w:rPr>
          <w:rFonts w:ascii="Times New Roman" w:eastAsia="Calibri" w:hAnsi="Times New Roman" w:cs="Times New Roman"/>
          <w:noProof/>
          <w:position w:val="-12"/>
          <w:sz w:val="28"/>
          <w:szCs w:val="28"/>
          <w:lang w:eastAsia="ru-RU"/>
        </w:rPr>
        <w:drawing>
          <wp:inline distT="0" distB="0" distL="0" distR="0">
            <wp:extent cx="2051685" cy="3384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51685" cy="338455"/>
                    </a:xfrm>
                    <a:prstGeom prst="rect">
                      <a:avLst/>
                    </a:prstGeom>
                    <a:noFill/>
                    <a:ln>
                      <a:noFill/>
                    </a:ln>
                  </pic:spPr>
                </pic:pic>
              </a:graphicData>
            </a:graphic>
          </wp:inline>
        </w:drawing>
      </w:r>
      <w:r w:rsidRPr="00790DE9">
        <w:rPr>
          <w:rFonts w:ascii="Times New Roman" w:eastAsia="Calibri" w:hAnsi="Times New Roman" w:cs="Times New Roman"/>
          <w:sz w:val="28"/>
          <w:szCs w:val="28"/>
          <w:lang w:eastAsia="ru-RU"/>
        </w:rPr>
        <w:t xml:space="preserve">,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где:</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lastRenderedPageBreak/>
        <w:t>КВ</w:t>
      </w:r>
      <w:r w:rsidRPr="00790DE9">
        <w:rPr>
          <w:rFonts w:ascii="Times New Roman" w:eastAsia="Calibri" w:hAnsi="Times New Roman" w:cs="Times New Roman"/>
          <w:sz w:val="28"/>
          <w:szCs w:val="28"/>
          <w:vertAlign w:val="subscript"/>
          <w:lang w:eastAsia="ru-RU"/>
        </w:rPr>
        <w:t>i</w:t>
      </w:r>
      <w:r w:rsidRPr="00790DE9">
        <w:rPr>
          <w:rFonts w:ascii="Times New Roman" w:eastAsia="Calibri" w:hAnsi="Times New Roman" w:cs="Times New Roman"/>
          <w:sz w:val="28"/>
          <w:szCs w:val="28"/>
          <w:lang w:eastAsia="ru-RU"/>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noProof/>
          <w:position w:val="-12"/>
          <w:sz w:val="28"/>
          <w:szCs w:val="28"/>
          <w:lang w:eastAsia="ru-RU"/>
        </w:rPr>
        <w:drawing>
          <wp:inline distT="0" distB="0" distL="0" distR="0">
            <wp:extent cx="518160" cy="338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8160" cy="338455"/>
                    </a:xfrm>
                    <a:prstGeom prst="rect">
                      <a:avLst/>
                    </a:prstGeom>
                    <a:noFill/>
                    <a:ln>
                      <a:noFill/>
                    </a:ln>
                  </pic:spPr>
                </pic:pic>
              </a:graphicData>
            </a:graphic>
          </wp:inline>
        </w:drawing>
      </w:r>
      <w:r w:rsidRPr="00790DE9">
        <w:rPr>
          <w:rFonts w:ascii="Times New Roman" w:eastAsia="Calibri" w:hAnsi="Times New Roman" w:cs="Times New Roman"/>
          <w:sz w:val="28"/>
          <w:szCs w:val="28"/>
          <w:lang w:eastAsia="ru-RU"/>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0" w:history="1">
        <w:r w:rsidRPr="00790DE9">
          <w:rPr>
            <w:rFonts w:ascii="Times New Roman" w:eastAsia="Calibri" w:hAnsi="Times New Roman" w:cs="Times New Roman"/>
            <w:sz w:val="28"/>
            <w:szCs w:val="28"/>
            <w:lang w:eastAsia="ru-RU"/>
          </w:rPr>
          <w:t>пункта 13</w:t>
        </w:r>
      </w:hyperlink>
      <w:r w:rsidRPr="00790DE9">
        <w:rPr>
          <w:rFonts w:ascii="Times New Roman" w:eastAsia="Calibri" w:hAnsi="Times New Roman" w:cs="Times New Roman"/>
          <w:sz w:val="28"/>
          <w:szCs w:val="28"/>
          <w:lang w:eastAsia="ru-RU"/>
        </w:rPr>
        <w:t xml:space="preserve"> Основ ценообразования;</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КД</w:t>
      </w:r>
      <w:r w:rsidRPr="00790DE9">
        <w:rPr>
          <w:rFonts w:ascii="Times New Roman" w:eastAsia="Calibri" w:hAnsi="Times New Roman" w:cs="Times New Roman"/>
          <w:sz w:val="28"/>
          <w:szCs w:val="28"/>
          <w:vertAlign w:val="subscript"/>
          <w:lang w:eastAsia="ru-RU"/>
        </w:rPr>
        <w:t>i</w:t>
      </w:r>
      <w:r w:rsidRPr="00790DE9">
        <w:rPr>
          <w:rFonts w:ascii="Times New Roman" w:eastAsia="Calibri" w:hAnsi="Times New Roman" w:cs="Times New Roman"/>
          <w:sz w:val="28"/>
          <w:szCs w:val="28"/>
          <w:lang w:eastAsia="ru-RU"/>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1" w:history="1">
        <w:r w:rsidRPr="00790DE9">
          <w:rPr>
            <w:rFonts w:ascii="Times New Roman" w:eastAsia="Calibri" w:hAnsi="Times New Roman" w:cs="Times New Roman"/>
            <w:sz w:val="28"/>
            <w:szCs w:val="28"/>
            <w:lang w:eastAsia="ru-RU"/>
          </w:rPr>
          <w:t>кодексом</w:t>
        </w:r>
      </w:hyperlink>
      <w:r w:rsidRPr="00790DE9">
        <w:rPr>
          <w:rFonts w:ascii="Times New Roman" w:eastAsia="Calibri" w:hAnsi="Times New Roman" w:cs="Times New Roman"/>
          <w:sz w:val="28"/>
          <w:szCs w:val="28"/>
          <w:lang w:eastAsia="ru-RU"/>
        </w:rPr>
        <w:t xml:space="preserve"> Российской Федерации.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790DE9" w:rsidRPr="00790DE9" w:rsidRDefault="00790DE9" w:rsidP="00790DE9">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Расходы на уплату налогов включаются в НВВ регулируемой организации в составе неподконтрольных расходов (</w:t>
      </w:r>
      <w:hyperlink r:id="rId42" w:history="1">
        <w:r w:rsidRPr="00790DE9">
          <w:rPr>
            <w:rFonts w:ascii="Times New Roman" w:eastAsia="Calibri" w:hAnsi="Times New Roman" w:cs="Times New Roman"/>
            <w:sz w:val="28"/>
            <w:szCs w:val="28"/>
            <w:lang w:eastAsia="ru-RU"/>
          </w:rPr>
          <w:t>подпункт «б» пункта 62</w:t>
        </w:r>
      </w:hyperlink>
      <w:r w:rsidRPr="00790DE9">
        <w:rPr>
          <w:rFonts w:ascii="Times New Roman" w:eastAsia="Calibri" w:hAnsi="Times New Roman" w:cs="Times New Roman"/>
          <w:sz w:val="28"/>
          <w:szCs w:val="28"/>
          <w:lang w:eastAsia="ru-RU"/>
        </w:rPr>
        <w:t xml:space="preserve">, </w:t>
      </w:r>
      <w:hyperlink r:id="rId43" w:history="1">
        <w:r w:rsidRPr="00790DE9">
          <w:rPr>
            <w:rFonts w:ascii="Times New Roman" w:eastAsia="Calibri" w:hAnsi="Times New Roman" w:cs="Times New Roman"/>
            <w:sz w:val="28"/>
            <w:szCs w:val="28"/>
            <w:lang w:eastAsia="ru-RU"/>
          </w:rPr>
          <w:t>пункт 73</w:t>
        </w:r>
      </w:hyperlink>
      <w:r w:rsidRPr="00790DE9">
        <w:rPr>
          <w:rFonts w:ascii="Times New Roman" w:eastAsia="Calibri" w:hAnsi="Times New Roman" w:cs="Times New Roman"/>
          <w:sz w:val="28"/>
          <w:szCs w:val="28"/>
          <w:lang w:eastAsia="ru-RU"/>
        </w:rPr>
        <w:t xml:space="preserve"> Основ ценообразования). Как следует из </w:t>
      </w:r>
      <w:hyperlink r:id="rId44" w:history="1">
        <w:r w:rsidRPr="00790DE9">
          <w:rPr>
            <w:rFonts w:ascii="Times New Roman" w:eastAsia="Calibri" w:hAnsi="Times New Roman" w:cs="Times New Roman"/>
            <w:sz w:val="28"/>
            <w:szCs w:val="28"/>
            <w:lang w:eastAsia="ru-RU"/>
          </w:rPr>
          <w:t>пункта 23</w:t>
        </w:r>
      </w:hyperlink>
      <w:r w:rsidRPr="00790DE9">
        <w:rPr>
          <w:rFonts w:ascii="Times New Roman" w:eastAsia="Calibri" w:hAnsi="Times New Roman" w:cs="Times New Roman"/>
          <w:sz w:val="28"/>
          <w:szCs w:val="28"/>
          <w:lang w:eastAsia="ru-RU"/>
        </w:rPr>
        <w:t xml:space="preserve"> Методических указаний планируемая на соответствующий расчетный период регулирования величина налога на прибыль определяется в соответствии с Налоговым </w:t>
      </w:r>
      <w:hyperlink r:id="rId45" w:history="1">
        <w:r w:rsidRPr="00790DE9">
          <w:rPr>
            <w:rFonts w:ascii="Times New Roman" w:eastAsia="Calibri" w:hAnsi="Times New Roman" w:cs="Times New Roman"/>
            <w:sz w:val="28"/>
            <w:szCs w:val="28"/>
            <w:lang w:eastAsia="ru-RU"/>
          </w:rPr>
          <w:t>кодексом</w:t>
        </w:r>
      </w:hyperlink>
      <w:r w:rsidRPr="00790DE9">
        <w:rPr>
          <w:rFonts w:ascii="Times New Roman" w:eastAsia="Calibri" w:hAnsi="Times New Roman" w:cs="Times New Roman"/>
          <w:sz w:val="28"/>
          <w:szCs w:val="28"/>
          <w:lang w:eastAsia="ru-RU"/>
        </w:rPr>
        <w:t xml:space="preserve"> Российской Федерации.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Из содержания экспертного заключения следует, что органом регулирования из заявленных обществом 199 007,01 тысячи рублей по статье расходов «налог на прибыль» принято 67,16 тысячи рублей. При этом в нарушение </w:t>
      </w:r>
      <w:hyperlink r:id="rId46" w:history="1">
        <w:r w:rsidRPr="00790DE9">
          <w:rPr>
            <w:rFonts w:ascii="Times New Roman" w:eastAsia="Calibri" w:hAnsi="Times New Roman" w:cs="Times New Roman"/>
            <w:sz w:val="28"/>
            <w:szCs w:val="28"/>
            <w:lang w:eastAsia="ru-RU"/>
          </w:rPr>
          <w:t>подпункта «л» пункта 32</w:t>
        </w:r>
      </w:hyperlink>
      <w:r w:rsidRPr="00790DE9">
        <w:rPr>
          <w:rFonts w:ascii="Times New Roman" w:eastAsia="Calibri" w:hAnsi="Times New Roman" w:cs="Times New Roman"/>
          <w:sz w:val="28"/>
          <w:szCs w:val="28"/>
          <w:lang w:eastAsia="ru-RU"/>
        </w:rPr>
        <w:t xml:space="preserve"> Правил регулирования цен Госкомитет не привел оснований, по которым отказано во включении в цены (тарифы) рассчитанной регулируемой организацией величины нормативной прибыли.</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При этом суд отмечает, что тарифный орган фактические расходы АО «Татэнерго», относимые на прибыль после налогообложения, не оспаривает, </w:t>
      </w:r>
      <w:r w:rsidRPr="00790DE9">
        <w:rPr>
          <w:rFonts w:ascii="Times New Roman" w:eastAsia="Times New Roman" w:hAnsi="Times New Roman" w:cs="Times New Roman"/>
          <w:kern w:val="28"/>
          <w:sz w:val="28"/>
          <w:szCs w:val="28"/>
          <w:lang w:eastAsia="ru-RU"/>
        </w:rPr>
        <w:lastRenderedPageBreak/>
        <w:t xml:space="preserve">отчет по исполнению инвестиционной программы за 2023 год принят административным ответчиком без возражений.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Регулирующий орган исключил в полном объеме расчетную предпринимательскую прибыль (далее – РПП), заявленную </w:t>
      </w:r>
      <w:r w:rsidRPr="00790DE9">
        <w:rPr>
          <w:rFonts w:ascii="Times New Roman" w:eastAsia="Times New Roman" w:hAnsi="Times New Roman" w:cs="Times New Roman"/>
          <w:kern w:val="28"/>
          <w:sz w:val="28"/>
          <w:szCs w:val="28"/>
          <w:lang w:eastAsia="ru-RU"/>
        </w:rPr>
        <w:t>АО «Татэнерго»</w:t>
      </w:r>
      <w:r w:rsidRPr="00790DE9">
        <w:rPr>
          <w:rFonts w:ascii="Times New Roman" w:eastAsia="Calibri" w:hAnsi="Times New Roman" w:cs="Times New Roman"/>
          <w:sz w:val="28"/>
          <w:szCs w:val="28"/>
          <w:lang w:eastAsia="ru-RU"/>
        </w:rPr>
        <w:t xml:space="preserve">. При этом в нарушение </w:t>
      </w:r>
      <w:hyperlink r:id="rId47" w:history="1">
        <w:r w:rsidRPr="00790DE9">
          <w:rPr>
            <w:rFonts w:ascii="Times New Roman" w:eastAsia="Calibri" w:hAnsi="Times New Roman" w:cs="Times New Roman"/>
            <w:sz w:val="28"/>
            <w:szCs w:val="28"/>
            <w:lang w:eastAsia="ru-RU"/>
          </w:rPr>
          <w:t>подпункта «л» пункта 32</w:t>
        </w:r>
      </w:hyperlink>
      <w:r w:rsidRPr="00790DE9">
        <w:rPr>
          <w:rFonts w:ascii="Times New Roman" w:eastAsia="Calibri" w:hAnsi="Times New Roman" w:cs="Times New Roman"/>
          <w:sz w:val="28"/>
          <w:szCs w:val="28"/>
          <w:lang w:eastAsia="ru-RU"/>
        </w:rPr>
        <w:t xml:space="preserve"> Правил регулирования цен Госкомитет не привел оснований, по которым отказано во включении в цены (тарифы) расчетной предпринимательской прибыли.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Между тем суд не может согласиться с обоснованностью данных доводов.</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Согласно </w:t>
      </w:r>
      <w:hyperlink r:id="rId48" w:history="1">
        <w:r w:rsidRPr="00790DE9">
          <w:rPr>
            <w:rFonts w:ascii="Times New Roman" w:eastAsia="Calibri" w:hAnsi="Times New Roman" w:cs="Times New Roman"/>
            <w:sz w:val="28"/>
            <w:szCs w:val="28"/>
            <w:lang w:eastAsia="ru-RU"/>
          </w:rPr>
          <w:t>пункту 2</w:t>
        </w:r>
      </w:hyperlink>
      <w:r w:rsidRPr="00790DE9">
        <w:rPr>
          <w:rFonts w:ascii="Times New Roman" w:eastAsia="Calibri" w:hAnsi="Times New Roman" w:cs="Times New Roman"/>
          <w:sz w:val="28"/>
          <w:szCs w:val="28"/>
          <w:lang w:eastAsia="ru-RU"/>
        </w:rPr>
        <w:t xml:space="preserve"> Основ ценообразования РПП регулируемой организации является величиной, учитываемой при определении НВВ регулируемой организации при расчете тарифов с применением в том числе метода индексации установленных тарифов на каждый год долгосрочного периода регулирования, остается в распоряжении регулируемой организации и расходуется по ее усмотрению.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с </w:t>
      </w:r>
      <w:hyperlink r:id="rId49" w:history="1">
        <w:r w:rsidRPr="00790DE9">
          <w:rPr>
            <w:rFonts w:ascii="Times New Roman" w:eastAsia="Times New Roman" w:hAnsi="Times New Roman" w:cs="Times New Roman"/>
            <w:sz w:val="28"/>
            <w:szCs w:val="28"/>
            <w:lang w:eastAsia="ru-RU"/>
          </w:rPr>
          <w:t>пунктом 73</w:t>
        </w:r>
      </w:hyperlink>
      <w:r w:rsidRPr="00790DE9">
        <w:rPr>
          <w:rFonts w:ascii="Times New Roman" w:eastAsia="Times New Roman" w:hAnsi="Times New Roman" w:cs="Times New Roman"/>
          <w:sz w:val="28"/>
          <w:szCs w:val="28"/>
          <w:lang w:eastAsia="ru-RU"/>
        </w:rPr>
        <w:t xml:space="preserve"> данного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Случаи, в которых расчетная предпринимательская прибыль не включается в НВВ регулируемой организации, перечислены в </w:t>
      </w:r>
      <w:hyperlink r:id="rId50" w:history="1">
        <w:r w:rsidRPr="00790DE9">
          <w:rPr>
            <w:rFonts w:ascii="Times New Roman" w:eastAsia="Calibri" w:hAnsi="Times New Roman" w:cs="Times New Roman"/>
            <w:sz w:val="28"/>
            <w:szCs w:val="28"/>
            <w:lang w:eastAsia="ru-RU"/>
          </w:rPr>
          <w:t>пункте 48 (2)</w:t>
        </w:r>
      </w:hyperlink>
      <w:r w:rsidRPr="00790DE9">
        <w:rPr>
          <w:rFonts w:ascii="Times New Roman" w:eastAsia="Calibri" w:hAnsi="Times New Roman" w:cs="Times New Roman"/>
          <w:sz w:val="28"/>
          <w:szCs w:val="28"/>
          <w:lang w:eastAsia="ru-RU"/>
        </w:rPr>
        <w:t xml:space="preserve"> Основ ценообразования, положения которого в данном случае не подлежат применению.</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Calibri" w:hAnsi="Times New Roman" w:cs="Times New Roman"/>
          <w:sz w:val="28"/>
          <w:szCs w:val="28"/>
          <w:lang w:eastAsia="ru-RU"/>
        </w:rPr>
        <w:t xml:space="preserve">Суд также отмечает, что вопреки доводам административного ответчика, производство </w:t>
      </w:r>
      <w:r w:rsidRPr="00790DE9">
        <w:rPr>
          <w:rFonts w:ascii="Times New Roman" w:eastAsia="Times New Roman" w:hAnsi="Times New Roman" w:cs="Times New Roman"/>
          <w:kern w:val="28"/>
          <w:sz w:val="28"/>
          <w:szCs w:val="28"/>
          <w:lang w:eastAsia="ru-RU"/>
        </w:rPr>
        <w:t>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является самостоятельным технологическим процессом.</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lastRenderedPageBreak/>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Казанской ТЭЦ-1, Казанской ТЭЦ-2, не включающему передачу и сбыт тепловой энергии. Таким образом, бремя оплаты РПП относится на конечного потребителя, то есть главным образом на население.      </w:t>
      </w:r>
    </w:p>
    <w:p w:rsidR="00790DE9" w:rsidRPr="00790DE9" w:rsidRDefault="00790DE9" w:rsidP="00790DE9">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Следовательно, оснований для исключения регулирующим органом РПП из НВВ общества не имелось.</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kern w:val="28"/>
          <w:sz w:val="28"/>
          <w:szCs w:val="28"/>
          <w:lang w:eastAsia="ru-RU"/>
        </w:rPr>
        <w:t>Суд соглашается с доводами административного истца о неправильном определении органом регулирования объема отпуска тепловой энергии от источников тепловой энергии общества, что повлекло, помимо прочего, завышение его расходов на топливо на технологические цели.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В соответствии с пунктом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Согласно экспертному заключению при наличии сведений о принятии органом государственной власти (Министерством энергетики Российской Федерации) нормативного правового акта об утверждении</w:t>
      </w:r>
      <w:r w:rsidRPr="00790DE9">
        <w:rPr>
          <w:rFonts w:ascii="Times New Roman" w:eastAsia="Calibri" w:hAnsi="Times New Roman" w:cs="Times New Roman"/>
          <w:sz w:val="28"/>
          <w:szCs w:val="28"/>
          <w:lang w:eastAsia="ru-RU"/>
        </w:rPr>
        <w:t xml:space="preserve"> схемы теплоснабжения и ее актуализации на 2025 год, наличии в указанных документах информации об объемах полезного отпуска тепловой энергии в 2025 году от </w:t>
      </w:r>
      <w:r w:rsidRPr="00790DE9">
        <w:rPr>
          <w:rFonts w:ascii="Times New Roman" w:eastAsia="Times New Roman" w:hAnsi="Times New Roman" w:cs="Times New Roman"/>
          <w:kern w:val="28"/>
          <w:sz w:val="28"/>
          <w:szCs w:val="28"/>
          <w:lang w:eastAsia="ru-RU"/>
        </w:rPr>
        <w:t>Казанской ТЭЦ-1, Казанской ТЭЦ-2</w:t>
      </w:r>
      <w:r w:rsidRPr="00790DE9">
        <w:rPr>
          <w:rFonts w:ascii="Times New Roman" w:eastAsia="Calibri" w:hAnsi="Times New Roman" w:cs="Times New Roman"/>
          <w:sz w:val="28"/>
          <w:szCs w:val="28"/>
          <w:lang w:eastAsia="ru-RU"/>
        </w:rPr>
        <w:t xml:space="preserve"> орган регулирования вопреки положениям пункта 22 Основ ценообразования применил приведенный выше установленный в данной норме метод определения объема полезного отпуска тепловой энергии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чем нарушил требования законодательства о тарифном регулировании.     </w:t>
      </w:r>
      <w:r w:rsidRPr="00790DE9">
        <w:rPr>
          <w:rFonts w:ascii="Times New Roman" w:eastAsia="Times New Roman" w:hAnsi="Times New Roman" w:cs="Times New Roman"/>
          <w:sz w:val="28"/>
          <w:szCs w:val="28"/>
          <w:lang w:eastAsia="ru-RU"/>
        </w:rPr>
        <w:t xml:space="preserve">  </w:t>
      </w:r>
    </w:p>
    <w:p w:rsidR="00790DE9" w:rsidRPr="00790DE9" w:rsidRDefault="00790DE9" w:rsidP="00790DE9">
      <w:pPr>
        <w:autoSpaceDE w:val="0"/>
        <w:autoSpaceDN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Times New Roman" w:hAnsi="Times New Roman" w:cs="Times New Roman"/>
          <w:sz w:val="28"/>
          <w:szCs w:val="28"/>
          <w:lang w:eastAsia="ru-RU"/>
        </w:rPr>
        <w:t>Оценивая доводы административного истца, суд отмечает, что п</w:t>
      </w:r>
      <w:r w:rsidRPr="00790DE9">
        <w:rPr>
          <w:rFonts w:ascii="Times New Roman" w:eastAsia="Calibri" w:hAnsi="Times New Roman" w:cs="Times New Roman"/>
          <w:sz w:val="28"/>
          <w:szCs w:val="28"/>
          <w:lang w:eastAsia="ru-RU"/>
        </w:rPr>
        <w:t xml:space="preserve">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w:t>
      </w:r>
      <w:r w:rsidRPr="00790DE9">
        <w:rPr>
          <w:rFonts w:ascii="Times New Roman" w:eastAsia="Calibri" w:hAnsi="Times New Roman" w:cs="Times New Roman"/>
          <w:sz w:val="28"/>
          <w:szCs w:val="28"/>
          <w:lang w:eastAsia="ru-RU"/>
        </w:rPr>
        <w:lastRenderedPageBreak/>
        <w:t>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51" w:history="1">
        <w:r w:rsidRPr="00790DE9">
          <w:rPr>
            <w:rFonts w:ascii="Times New Roman" w:eastAsia="Calibri" w:hAnsi="Times New Roman" w:cs="Times New Roman"/>
            <w:sz w:val="28"/>
            <w:szCs w:val="28"/>
            <w:lang w:eastAsia="ru-RU"/>
          </w:rPr>
          <w:t>часть 14 статьи 10</w:t>
        </w:r>
      </w:hyperlink>
      <w:r w:rsidRPr="00790DE9">
        <w:rPr>
          <w:rFonts w:ascii="Times New Roman" w:eastAsia="Calibri" w:hAnsi="Times New Roman" w:cs="Times New Roman"/>
          <w:sz w:val="28"/>
          <w:szCs w:val="28"/>
          <w:lang w:eastAsia="ru-RU"/>
        </w:rPr>
        <w:t xml:space="preserve"> Закона о теплоснабжении).</w:t>
      </w:r>
    </w:p>
    <w:p w:rsidR="00790DE9" w:rsidRPr="00790DE9" w:rsidRDefault="00790DE9" w:rsidP="00790DE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90DE9">
        <w:rPr>
          <w:rFonts w:ascii="Times New Roman" w:eastAsia="Calibri" w:hAnsi="Times New Roman" w:cs="Times New Roman"/>
          <w:sz w:val="28"/>
          <w:szCs w:val="28"/>
          <w:lang w:eastAsia="ru-RU"/>
        </w:rPr>
        <w:t xml:space="preserve">Кроме того, в </w:t>
      </w:r>
      <w:hyperlink r:id="rId52" w:history="1">
        <w:r w:rsidRPr="00790DE9">
          <w:rPr>
            <w:rFonts w:ascii="Times New Roman" w:eastAsia="Calibri" w:hAnsi="Times New Roman" w:cs="Times New Roman"/>
            <w:sz w:val="28"/>
            <w:szCs w:val="28"/>
            <w:lang w:eastAsia="ru-RU"/>
          </w:rPr>
          <w:t>пункте 8</w:t>
        </w:r>
      </w:hyperlink>
      <w:r w:rsidRPr="00790DE9">
        <w:rPr>
          <w:rFonts w:ascii="Times New Roman" w:eastAsia="Calibri" w:hAnsi="Times New Roman" w:cs="Times New Roman"/>
          <w:sz w:val="28"/>
          <w:szCs w:val="28"/>
          <w:lang w:eastAsia="ru-RU"/>
        </w:rPr>
        <w:t xml:space="preserve"> постановления Правительства Российской Федерации от 22 октября 2012 года № 1075 предусмотрено, что установление цен (тарифов) в сфере теплоснабжения с учетом </w:t>
      </w:r>
      <w:hyperlink r:id="rId53" w:history="1">
        <w:r w:rsidRPr="00790DE9">
          <w:rPr>
            <w:rFonts w:ascii="Times New Roman" w:eastAsia="Calibri" w:hAnsi="Times New Roman" w:cs="Times New Roman"/>
            <w:sz w:val="28"/>
            <w:szCs w:val="28"/>
            <w:lang w:eastAsia="ru-RU"/>
          </w:rPr>
          <w:t>пунктов 48(1)</w:t>
        </w:r>
      </w:hyperlink>
      <w:r w:rsidRPr="00790DE9">
        <w:rPr>
          <w:rFonts w:ascii="Times New Roman" w:eastAsia="Calibri" w:hAnsi="Times New Roman" w:cs="Times New Roman"/>
          <w:sz w:val="28"/>
          <w:szCs w:val="28"/>
          <w:lang w:eastAsia="ru-RU"/>
        </w:rPr>
        <w:t xml:space="preserve"> и </w:t>
      </w:r>
      <w:hyperlink r:id="rId54" w:history="1">
        <w:r w:rsidRPr="00790DE9">
          <w:rPr>
            <w:rFonts w:ascii="Times New Roman" w:eastAsia="Calibri" w:hAnsi="Times New Roman" w:cs="Times New Roman"/>
            <w:sz w:val="28"/>
            <w:szCs w:val="28"/>
            <w:lang w:eastAsia="ru-RU"/>
          </w:rPr>
          <w:t>74(1)</w:t>
        </w:r>
      </w:hyperlink>
      <w:r w:rsidRPr="00790DE9">
        <w:rPr>
          <w:rFonts w:ascii="Times New Roman" w:eastAsia="Calibri" w:hAnsi="Times New Roman" w:cs="Times New Roman"/>
          <w:sz w:val="28"/>
          <w:szCs w:val="28"/>
          <w:lang w:eastAsia="ru-RU"/>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55" w:history="1">
        <w:r w:rsidRPr="00790DE9">
          <w:rPr>
            <w:rFonts w:ascii="Times New Roman" w:eastAsia="Calibri" w:hAnsi="Times New Roman" w:cs="Times New Roman"/>
            <w:sz w:val="28"/>
            <w:szCs w:val="28"/>
            <w:lang w:eastAsia="ru-RU"/>
          </w:rPr>
          <w:t>Основами</w:t>
        </w:r>
      </w:hyperlink>
      <w:r w:rsidRPr="00790DE9">
        <w:rPr>
          <w:rFonts w:ascii="Times New Roman" w:eastAsia="Calibri" w:hAnsi="Times New Roman" w:cs="Times New Roman"/>
          <w:sz w:val="28"/>
          <w:szCs w:val="28"/>
          <w:lang w:eastAsia="ru-RU"/>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Учитывая вышеприведенные обстоятельства в совокупности, суд приходит к выводу о том, что оспариваемые постановления Госкомитета </w:t>
      </w:r>
      <w:r w:rsidRPr="00790DE9">
        <w:rPr>
          <w:rFonts w:ascii="Times New Roman" w:eastAsia="Times New Roman" w:hAnsi="Times New Roman" w:cs="Times New Roman"/>
          <w:kern w:val="28"/>
          <w:sz w:val="28"/>
          <w:szCs w:val="28"/>
          <w:lang w:eastAsia="ru-RU"/>
        </w:rPr>
        <w:t xml:space="preserve">от 15 декабря 2023 года № 725-81/тэ-2023, от 20 декабря 2024 года № 733-120/тэ-2024 </w:t>
      </w:r>
      <w:r w:rsidRPr="00790DE9">
        <w:rPr>
          <w:rFonts w:ascii="Times New Roman" w:eastAsia="Times New Roman" w:hAnsi="Times New Roman" w:cs="Times New Roman"/>
          <w:sz w:val="28"/>
          <w:szCs w:val="28"/>
          <w:lang w:eastAsia="ru-RU"/>
        </w:rPr>
        <w:t>не соответствуют нормативным правовым актам, имеющим большую юридическую силу, а также нарушает права и законные интересы административного истца.</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Поскольку оспариваемые нормативные правовые акты имеют ограниченный срок действия, признание отдельных их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56" w:history="1">
        <w:r w:rsidRPr="00790DE9">
          <w:rPr>
            <w:rFonts w:ascii="Times New Roman" w:eastAsia="Times New Roman" w:hAnsi="Times New Roman" w:cs="Times New Roman"/>
            <w:sz w:val="28"/>
            <w:szCs w:val="28"/>
            <w:lang w:eastAsia="ru-RU"/>
          </w:rPr>
          <w:t>статьей 3</w:t>
        </w:r>
      </w:hyperlink>
      <w:r w:rsidRPr="00790DE9">
        <w:rPr>
          <w:rFonts w:ascii="Times New Roman" w:eastAsia="Times New Roman" w:hAnsi="Times New Roman" w:cs="Times New Roman"/>
          <w:sz w:val="28"/>
          <w:szCs w:val="28"/>
          <w:lang w:eastAsia="ru-RU"/>
        </w:rPr>
        <w:t xml:space="preserve"> Кодекса административного судопроизводства Российской Федерации, поэтому суд полагает необходимым признать их недействующими со дня принятия.</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 xml:space="preserve">Принимая во внимание, что в связи с признанием постановлений Госкомитета </w:t>
      </w:r>
      <w:r w:rsidRPr="00790DE9">
        <w:rPr>
          <w:rFonts w:ascii="Times New Roman" w:eastAsia="Times New Roman" w:hAnsi="Times New Roman" w:cs="Times New Roman"/>
          <w:kern w:val="28"/>
          <w:sz w:val="28"/>
          <w:szCs w:val="28"/>
          <w:lang w:eastAsia="ru-RU"/>
        </w:rPr>
        <w:t xml:space="preserve">от 15 декабря 2023 года № 725-81/тэ-2023, от 20 декабря 2024 года № 733-120/тэ-2024 </w:t>
      </w:r>
      <w:r w:rsidRPr="00790DE9">
        <w:rPr>
          <w:rFonts w:ascii="Times New Roman" w:eastAsia="Times New Roman" w:hAnsi="Times New Roman" w:cs="Times New Roman"/>
          <w:sz w:val="28"/>
          <w:szCs w:val="28"/>
          <w:lang w:eastAsia="ru-RU"/>
        </w:rPr>
        <w:t xml:space="preserve">недействующими наступит недостаточная правовая урегулированность административных правоотношений, которая может </w:t>
      </w:r>
      <w:r w:rsidRPr="00790DE9">
        <w:rPr>
          <w:rFonts w:ascii="Times New Roman" w:eastAsia="Times New Roman" w:hAnsi="Times New Roman" w:cs="Times New Roman"/>
          <w:sz w:val="28"/>
          <w:szCs w:val="28"/>
          <w:lang w:eastAsia="ru-RU"/>
        </w:rPr>
        <w:lastRenderedPageBreak/>
        <w:t>повлечь за собой нарушение прав, свобод и законных интересов неопределенного круга лиц, суд, руководствуясь частью 4 статьи 216</w:t>
      </w:r>
      <w:r w:rsidRPr="00790DE9">
        <w:rPr>
          <w:rFonts w:ascii="Times New Roman" w:eastAsia="Times New Roman" w:hAnsi="Times New Roman" w:cs="Times New Roman"/>
          <w:kern w:val="28"/>
          <w:sz w:val="20"/>
          <w:szCs w:val="24"/>
          <w:lang w:eastAsia="ru-RU"/>
        </w:rPr>
        <w:t xml:space="preserve"> </w:t>
      </w:r>
      <w:r w:rsidRPr="00790DE9">
        <w:rPr>
          <w:rFonts w:ascii="Times New Roman" w:eastAsia="Times New Roman" w:hAnsi="Times New Roman" w:cs="Times New Roman"/>
          <w:kern w:val="28"/>
          <w:sz w:val="28"/>
          <w:szCs w:val="28"/>
          <w:lang w:eastAsia="ru-RU"/>
        </w:rPr>
        <w:t>Кодекса административного судопроизводства Российской Федерации,</w:t>
      </w:r>
      <w:r w:rsidRPr="00790DE9">
        <w:rPr>
          <w:rFonts w:ascii="Times New Roman" w:eastAsia="Times New Roman" w:hAnsi="Times New Roman" w:cs="Times New Roman"/>
          <w:sz w:val="28"/>
          <w:szCs w:val="28"/>
          <w:lang w:eastAsia="ru-RU"/>
        </w:rPr>
        <w:t xml:space="preserve"> 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 </w:t>
      </w:r>
    </w:p>
    <w:p w:rsidR="00790DE9" w:rsidRPr="00790DE9" w:rsidRDefault="00790DE9" w:rsidP="00790DE9">
      <w:pPr>
        <w:autoSpaceDE w:val="0"/>
        <w:autoSpaceDN w:val="0"/>
        <w:spacing w:after="0" w:line="240" w:lineRule="auto"/>
        <w:ind w:firstLine="709"/>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На основании изложенного, руководствуясь статьями 175 – 178,  180 Кодекса административного судопроизводства Российской Федерации, суд</w:t>
      </w: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4"/>
          <w:lang w:eastAsia="ru-RU"/>
        </w:rPr>
        <w:t>Р Е Ш И Л:</w:t>
      </w:r>
    </w:p>
    <w:p w:rsidR="00790DE9" w:rsidRPr="00790DE9" w:rsidRDefault="00790DE9" w:rsidP="00790DE9">
      <w:pPr>
        <w:autoSpaceDE w:val="0"/>
        <w:autoSpaceDN w:val="0"/>
        <w:spacing w:after="0" w:line="240" w:lineRule="auto"/>
        <w:jc w:val="center"/>
        <w:rPr>
          <w:rFonts w:ascii="Times New Roman" w:eastAsia="Times New Roman" w:hAnsi="Times New Roman" w:cs="Times New Roman"/>
          <w:kern w:val="28"/>
          <w:sz w:val="28"/>
          <w:szCs w:val="24"/>
          <w:lang w:eastAsia="ru-RU"/>
        </w:rPr>
      </w:pP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административное исковое заявление акционерного общества «Татэнерго» удовлетворить.</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790DE9">
        <w:rPr>
          <w:rFonts w:ascii="Times New Roman" w:eastAsia="Times New Roman" w:hAnsi="Times New Roman" w:cs="Times New Roman"/>
          <w:kern w:val="28"/>
          <w:sz w:val="28"/>
          <w:szCs w:val="28"/>
          <w:lang w:eastAsia="ru-RU"/>
        </w:rPr>
        <w:t xml:space="preserve">Признать недействующими </w:t>
      </w:r>
      <w:r w:rsidRPr="00790DE9">
        <w:rPr>
          <w:rFonts w:ascii="Times New Roman" w:eastAsia="Times New Roman" w:hAnsi="Times New Roman" w:cs="Times New Roman"/>
          <w:sz w:val="28"/>
          <w:szCs w:val="28"/>
          <w:lang w:eastAsia="ru-RU"/>
        </w:rPr>
        <w:t xml:space="preserve">со дня принятия </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постановление Государственного комитета Республики Татарстан по тарифам от 15 декабря 2023 года № 725-81/тэ-2023 «Об установлении тарифов на тепловую энергию, производимую в режиме комбинированной выработки электрической и тепловой энергии филиалов Акционерного общества «Татэнерго» - Казанская ТЭЦ-1, Казанская ТЭЦ-2 г. Казани с установленной генерирующей мощностью производства электрической энергии 25 мегаватт и более на коллекторах источников тепловой энергии, на 2024-2028 годы», </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4"/>
          <w:lang w:eastAsia="ru-RU"/>
        </w:rPr>
      </w:pPr>
      <w:r w:rsidRPr="00790DE9">
        <w:rPr>
          <w:rFonts w:ascii="Times New Roman" w:eastAsia="Times New Roman" w:hAnsi="Times New Roman" w:cs="Times New Roman"/>
          <w:kern w:val="28"/>
          <w:sz w:val="28"/>
          <w:szCs w:val="28"/>
          <w:lang w:eastAsia="ru-RU"/>
        </w:rPr>
        <w:t>постановление Государственного комитета Республики Татарстан по тарифам от 20 декабря 2024 года № 733-120/тэ-2024  «О корректировке на 2025 год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общества «Татэнерго» - Казанская ТЭЦ-1, Казанская ТЭЦ-2 г. Казани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15 декабря 2023 года № 725-81/тэ-2023».</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новые нормативные правовые акты </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об установлении тарифов на тепловую энергию, производимую в режиме комбинированной выработки электрической и тепловой энергии филиалов Акционерного общества «Татэнерго» - Казанская ТЭЦ-1, Казанская ТЭЦ-2 города Казани с установленной генерирующей мощностью производства электрической энергии 25 мегаватт и более на коллекторах источников тепловой энергии, на 2024-2028 годы,</w:t>
      </w:r>
    </w:p>
    <w:p w:rsidR="00790DE9" w:rsidRPr="00790DE9" w:rsidRDefault="00790DE9" w:rsidP="00790DE9">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о корректировке на 2025 год тарифов на тепловую энергию, производимую в режиме комбинированной выработки электрической и тепловой энергии источниками тепловой энергии филиалов Акционерного </w:t>
      </w:r>
      <w:r w:rsidRPr="00790DE9">
        <w:rPr>
          <w:rFonts w:ascii="Times New Roman" w:eastAsia="Times New Roman" w:hAnsi="Times New Roman" w:cs="Times New Roman"/>
          <w:kern w:val="28"/>
          <w:sz w:val="28"/>
          <w:szCs w:val="28"/>
          <w:lang w:eastAsia="ru-RU"/>
        </w:rPr>
        <w:lastRenderedPageBreak/>
        <w:t>общества «Татэнерго» - Казанская ТЭЦ-1, Казанская ТЭЦ-2 города Казани с установленной генерирующей мощностью производства электрической энергии 25 мегаватт и более на коллекторах источников тепловой энергии.</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Взыскать с Государственного комитета Республики Татарстан по тарифам в пользу акционерного общества «Татэнерго» в возврат уплаченной государственной пошлины 40 000 рублей.</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790DE9" w:rsidRPr="00790DE9" w:rsidRDefault="00790DE9" w:rsidP="00790DE9">
      <w:pPr>
        <w:autoSpaceDE w:val="0"/>
        <w:autoSpaceDN w:val="0"/>
        <w:spacing w:after="0" w:line="240" w:lineRule="auto"/>
        <w:ind w:firstLine="720"/>
        <w:jc w:val="both"/>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4"/>
          <w:lang w:eastAsia="ru-RU"/>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sidRPr="00790DE9">
        <w:rPr>
          <w:rFonts w:ascii="Times New Roman" w:eastAsia="Times New Roman" w:hAnsi="Times New Roman" w:cs="Times New Roman"/>
          <w:kern w:val="28"/>
          <w:sz w:val="28"/>
          <w:szCs w:val="28"/>
          <w:lang w:eastAsia="ru-RU"/>
        </w:rPr>
        <w:t>Четвертый апелляционный суд общей юрисдикции.</w:t>
      </w: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8"/>
          <w:szCs w:val="28"/>
          <w:lang w:eastAsia="ru-RU"/>
        </w:rPr>
      </w:pPr>
    </w:p>
    <w:p w:rsidR="00790DE9" w:rsidRPr="00790DE9" w:rsidRDefault="00790DE9" w:rsidP="00790DE9">
      <w:pPr>
        <w:keepNext/>
        <w:autoSpaceDE w:val="0"/>
        <w:autoSpaceDN w:val="0"/>
        <w:spacing w:after="0" w:line="240" w:lineRule="auto"/>
        <w:jc w:val="both"/>
        <w:outlineLvl w:val="1"/>
        <w:rPr>
          <w:rFonts w:ascii="Times New Roman" w:eastAsia="Times New Roman" w:hAnsi="Times New Roman" w:cs="Times New Roman"/>
          <w:kern w:val="28"/>
          <w:sz w:val="28"/>
          <w:szCs w:val="28"/>
          <w:lang w:eastAsia="ru-RU"/>
        </w:rPr>
      </w:pPr>
      <w:r w:rsidRPr="00790DE9">
        <w:rPr>
          <w:rFonts w:ascii="Times New Roman" w:eastAsia="Times New Roman" w:hAnsi="Times New Roman" w:cs="Times New Roman"/>
          <w:kern w:val="28"/>
          <w:sz w:val="28"/>
          <w:szCs w:val="28"/>
          <w:lang w:eastAsia="ru-RU"/>
        </w:rPr>
        <w:t xml:space="preserve">Судья                                                                          Э.С. Каминский </w:t>
      </w:r>
    </w:p>
    <w:p w:rsidR="00790DE9" w:rsidRPr="00790DE9" w:rsidRDefault="00790DE9" w:rsidP="00790DE9">
      <w:pPr>
        <w:autoSpaceDE w:val="0"/>
        <w:autoSpaceDN w:val="0"/>
        <w:spacing w:after="0" w:line="240" w:lineRule="auto"/>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rPr>
          <w:rFonts w:ascii="Times New Roman" w:eastAsia="Times New Roman" w:hAnsi="Times New Roman" w:cs="Times New Roman"/>
          <w:sz w:val="28"/>
          <w:szCs w:val="28"/>
          <w:lang w:eastAsia="ru-RU"/>
        </w:rPr>
      </w:pPr>
      <w:r w:rsidRPr="00790DE9">
        <w:rPr>
          <w:rFonts w:ascii="Times New Roman" w:eastAsia="Times New Roman" w:hAnsi="Times New Roman" w:cs="Times New Roman"/>
          <w:sz w:val="28"/>
          <w:szCs w:val="28"/>
          <w:lang w:eastAsia="ru-RU"/>
        </w:rPr>
        <w:t>Справка: решение принято судом в окончательной форме 27 мая 2025 года.</w:t>
      </w:r>
    </w:p>
    <w:p w:rsidR="00790DE9" w:rsidRPr="00790DE9" w:rsidRDefault="00790DE9" w:rsidP="00790DE9">
      <w:pPr>
        <w:autoSpaceDE w:val="0"/>
        <w:autoSpaceDN w:val="0"/>
        <w:spacing w:after="0" w:line="240" w:lineRule="auto"/>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jc w:val="both"/>
        <w:rPr>
          <w:rFonts w:ascii="Times New Roman" w:eastAsia="Times New Roman" w:hAnsi="Times New Roman" w:cs="Times New Roman"/>
          <w:kern w:val="28"/>
          <w:sz w:val="20"/>
          <w:szCs w:val="24"/>
          <w:lang w:eastAsia="ru-RU"/>
        </w:rPr>
      </w:pPr>
      <w:r w:rsidRPr="00790DE9">
        <w:rPr>
          <w:rFonts w:ascii="Times New Roman" w:eastAsia="Times New Roman" w:hAnsi="Times New Roman" w:cs="Times New Roman"/>
          <w:kern w:val="28"/>
          <w:sz w:val="28"/>
          <w:szCs w:val="28"/>
          <w:lang w:eastAsia="ru-RU"/>
        </w:rPr>
        <w:t>Судья                                                                          Э.С. Каминский</w:t>
      </w:r>
    </w:p>
    <w:p w:rsidR="00790DE9" w:rsidRPr="00790DE9" w:rsidRDefault="00790DE9" w:rsidP="00790DE9">
      <w:pPr>
        <w:keepNext/>
        <w:autoSpaceDE w:val="0"/>
        <w:autoSpaceDN w:val="0"/>
        <w:spacing w:after="0" w:line="240" w:lineRule="auto"/>
        <w:jc w:val="both"/>
        <w:outlineLvl w:val="1"/>
        <w:rPr>
          <w:rFonts w:ascii="Times New Roman" w:eastAsia="Times New Roman" w:hAnsi="Times New Roman" w:cs="Times New Roman"/>
          <w:kern w:val="28"/>
          <w:sz w:val="28"/>
          <w:szCs w:val="28"/>
          <w:lang w:eastAsia="ru-RU"/>
        </w:rPr>
      </w:pPr>
    </w:p>
    <w:p w:rsidR="00790DE9" w:rsidRPr="00790DE9" w:rsidRDefault="00790DE9" w:rsidP="00790DE9">
      <w:pPr>
        <w:keepNext/>
        <w:autoSpaceDE w:val="0"/>
        <w:autoSpaceDN w:val="0"/>
        <w:spacing w:after="0" w:line="240" w:lineRule="auto"/>
        <w:jc w:val="both"/>
        <w:outlineLvl w:val="1"/>
        <w:rPr>
          <w:rFonts w:ascii="Times New Roman" w:eastAsia="Times New Roman" w:hAnsi="Times New Roman" w:cs="Times New Roman"/>
          <w:kern w:val="28"/>
          <w:sz w:val="28"/>
          <w:szCs w:val="28"/>
          <w:lang w:eastAsia="ru-RU"/>
        </w:rPr>
      </w:pPr>
    </w:p>
    <w:p w:rsidR="00790DE9" w:rsidRPr="00790DE9" w:rsidRDefault="00790DE9" w:rsidP="00790DE9">
      <w:pPr>
        <w:autoSpaceDE w:val="0"/>
        <w:autoSpaceDN w:val="0"/>
        <w:spacing w:after="0" w:line="240" w:lineRule="auto"/>
        <w:rPr>
          <w:rFonts w:ascii="Times New Roman" w:eastAsia="Times New Roman" w:hAnsi="Times New Roman" w:cs="Times New Roman"/>
          <w:kern w:val="28"/>
          <w:sz w:val="20"/>
          <w:szCs w:val="24"/>
          <w:lang w:eastAsia="ru-RU"/>
        </w:rPr>
      </w:pPr>
    </w:p>
    <w:p w:rsidR="002A54C7" w:rsidRPr="000A2381" w:rsidRDefault="002A54C7" w:rsidP="00DF77E4">
      <w:pPr>
        <w:rPr>
          <w:lang w:val="en-US"/>
        </w:rPr>
      </w:pPr>
    </w:p>
    <w:sectPr w:rsidR="002A54C7" w:rsidRPr="000A2381" w:rsidSect="005B696C">
      <w:headerReference w:type="default" r:id="rId5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7F6" w:rsidRDefault="00A207F6">
      <w:pPr>
        <w:spacing w:after="0" w:line="240" w:lineRule="auto"/>
      </w:pPr>
      <w:r>
        <w:separator/>
      </w:r>
    </w:p>
  </w:endnote>
  <w:endnote w:type="continuationSeparator" w:id="0">
    <w:p w:rsidR="00A207F6" w:rsidRDefault="00A2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7F6" w:rsidRDefault="00A207F6">
      <w:pPr>
        <w:spacing w:after="0" w:line="240" w:lineRule="auto"/>
      </w:pPr>
      <w:r>
        <w:separator/>
      </w:r>
    </w:p>
  </w:footnote>
  <w:footnote w:type="continuationSeparator" w:id="0">
    <w:p w:rsidR="00A207F6" w:rsidRDefault="00A2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6C" w:rsidRDefault="00790DE9">
    <w:pPr>
      <w:pStyle w:val="ab"/>
      <w:jc w:val="center"/>
    </w:pPr>
    <w:r>
      <w:fldChar w:fldCharType="begin"/>
    </w:r>
    <w:r>
      <w:instrText>PAGE   \* MERGEFORMAT</w:instrText>
    </w:r>
    <w:r>
      <w:fldChar w:fldCharType="separate"/>
    </w:r>
    <w:r w:rsidR="007A6AEB">
      <w:rPr>
        <w:noProof/>
      </w:rPr>
      <w:t>2</w:t>
    </w:r>
    <w:r>
      <w:fldChar w:fldCharType="end"/>
    </w:r>
  </w:p>
  <w:p w:rsidR="005B696C" w:rsidRDefault="00A207F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25069F"/>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069F"/>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0DE9"/>
    <w:rsid w:val="00792CCE"/>
    <w:rsid w:val="007A1E13"/>
    <w:rsid w:val="007A21F3"/>
    <w:rsid w:val="007A6AEB"/>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07F6"/>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57003-1068-4345-B330-D7E6A699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C8"/>
  </w:style>
  <w:style w:type="paragraph" w:styleId="1">
    <w:name w:val="heading 1"/>
    <w:basedOn w:val="a"/>
    <w:next w:val="a"/>
    <w:link w:val="10"/>
    <w:qFormat/>
    <w:rsid w:val="00790DE9"/>
    <w:pPr>
      <w:keepNext/>
      <w:autoSpaceDE w:val="0"/>
      <w:autoSpaceDN w:val="0"/>
      <w:spacing w:after="0" w:line="240" w:lineRule="auto"/>
      <w:jc w:val="right"/>
      <w:outlineLvl w:val="0"/>
    </w:pPr>
    <w:rPr>
      <w:rFonts w:ascii="Times New Roman" w:eastAsia="Times New Roman" w:hAnsi="Times New Roman" w:cs="Times New Roman"/>
      <w:kern w:val="28"/>
      <w:sz w:val="24"/>
      <w:szCs w:val="24"/>
      <w:lang w:eastAsia="ru-RU"/>
    </w:rPr>
  </w:style>
  <w:style w:type="paragraph" w:styleId="2">
    <w:name w:val="heading 2"/>
    <w:basedOn w:val="a"/>
    <w:next w:val="a"/>
    <w:link w:val="20"/>
    <w:semiHidden/>
    <w:unhideWhenUsed/>
    <w:qFormat/>
    <w:rsid w:val="00790DE9"/>
    <w:pPr>
      <w:keepNext/>
      <w:autoSpaceDE w:val="0"/>
      <w:autoSpaceDN w:val="0"/>
      <w:spacing w:after="0" w:line="240" w:lineRule="auto"/>
      <w:jc w:val="both"/>
      <w:outlineLvl w:val="1"/>
    </w:pPr>
    <w:rPr>
      <w:rFonts w:ascii="Times New Roman" w:eastAsia="Times New Roman" w:hAnsi="Times New Roman" w:cs="Times New Roman"/>
      <w:kern w:val="28"/>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0DE9"/>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790DE9"/>
    <w:rPr>
      <w:rFonts w:ascii="Times New Roman" w:eastAsia="Times New Roman" w:hAnsi="Times New Roman" w:cs="Times New Roman"/>
      <w:kern w:val="28"/>
      <w:sz w:val="28"/>
      <w:szCs w:val="24"/>
      <w:lang w:eastAsia="ru-RU"/>
    </w:rPr>
  </w:style>
  <w:style w:type="numbering" w:customStyle="1" w:styleId="11">
    <w:name w:val="Нет списка1"/>
    <w:next w:val="a2"/>
    <w:uiPriority w:val="99"/>
    <w:semiHidden/>
    <w:unhideWhenUsed/>
    <w:rsid w:val="00790DE9"/>
  </w:style>
  <w:style w:type="character" w:styleId="a3">
    <w:name w:val="Hyperlink"/>
    <w:semiHidden/>
    <w:unhideWhenUsed/>
    <w:rsid w:val="00790DE9"/>
    <w:rPr>
      <w:color w:val="0563C1"/>
      <w:u w:val="single"/>
    </w:rPr>
  </w:style>
  <w:style w:type="paragraph" w:styleId="a4">
    <w:name w:val="Body Text"/>
    <w:basedOn w:val="a"/>
    <w:link w:val="a5"/>
    <w:unhideWhenUsed/>
    <w:rsid w:val="00790DE9"/>
    <w:pPr>
      <w:autoSpaceDE w:val="0"/>
      <w:autoSpaceDN w:val="0"/>
      <w:spacing w:after="0" w:line="240" w:lineRule="auto"/>
      <w:jc w:val="both"/>
    </w:pPr>
    <w:rPr>
      <w:rFonts w:ascii="Times New Roman" w:eastAsia="Times New Roman" w:hAnsi="Times New Roman" w:cs="Times New Roman"/>
      <w:kern w:val="28"/>
      <w:sz w:val="20"/>
      <w:szCs w:val="24"/>
      <w:lang w:eastAsia="ru-RU"/>
    </w:rPr>
  </w:style>
  <w:style w:type="character" w:customStyle="1" w:styleId="a5">
    <w:name w:val="Основной текст Знак"/>
    <w:basedOn w:val="a0"/>
    <w:link w:val="a4"/>
    <w:rsid w:val="00790DE9"/>
    <w:rPr>
      <w:rFonts w:ascii="Times New Roman" w:eastAsia="Times New Roman" w:hAnsi="Times New Roman" w:cs="Times New Roman"/>
      <w:kern w:val="28"/>
      <w:sz w:val="20"/>
      <w:szCs w:val="24"/>
      <w:lang w:eastAsia="ru-RU"/>
    </w:rPr>
  </w:style>
  <w:style w:type="paragraph" w:styleId="a6">
    <w:name w:val="Body Text Indent"/>
    <w:basedOn w:val="a"/>
    <w:link w:val="a7"/>
    <w:unhideWhenUsed/>
    <w:rsid w:val="00790DE9"/>
    <w:pPr>
      <w:autoSpaceDE w:val="0"/>
      <w:autoSpaceDN w:val="0"/>
      <w:spacing w:after="0" w:line="240" w:lineRule="auto"/>
      <w:ind w:firstLine="720"/>
      <w:jc w:val="both"/>
    </w:pPr>
    <w:rPr>
      <w:rFonts w:ascii="Times New Roman" w:eastAsia="Times New Roman" w:hAnsi="Times New Roman" w:cs="Times New Roman"/>
      <w:kern w:val="28"/>
      <w:sz w:val="20"/>
      <w:szCs w:val="24"/>
      <w:lang w:eastAsia="ru-RU"/>
    </w:rPr>
  </w:style>
  <w:style w:type="character" w:customStyle="1" w:styleId="a7">
    <w:name w:val="Основной текст с отступом Знак"/>
    <w:basedOn w:val="a0"/>
    <w:link w:val="a6"/>
    <w:rsid w:val="00790DE9"/>
    <w:rPr>
      <w:rFonts w:ascii="Times New Roman" w:eastAsia="Times New Roman" w:hAnsi="Times New Roman" w:cs="Times New Roman"/>
      <w:kern w:val="28"/>
      <w:sz w:val="20"/>
      <w:szCs w:val="24"/>
      <w:lang w:eastAsia="ru-RU"/>
    </w:rPr>
  </w:style>
  <w:style w:type="paragraph" w:customStyle="1" w:styleId="ConsPlusNormal">
    <w:name w:val="ConsPlusNormal"/>
    <w:rsid w:val="00790DE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790DE9"/>
    <w:pPr>
      <w:autoSpaceDE w:val="0"/>
      <w:autoSpaceDN w:val="0"/>
      <w:spacing w:after="0" w:line="240" w:lineRule="auto"/>
    </w:pPr>
    <w:rPr>
      <w:rFonts w:ascii="Segoe UI" w:eastAsia="Times New Roman" w:hAnsi="Segoe UI" w:cs="Segoe UI"/>
      <w:kern w:val="28"/>
      <w:sz w:val="18"/>
      <w:szCs w:val="18"/>
      <w:lang w:eastAsia="ru-RU"/>
    </w:rPr>
  </w:style>
  <w:style w:type="character" w:customStyle="1" w:styleId="a9">
    <w:name w:val="Текст выноски Знак"/>
    <w:basedOn w:val="a0"/>
    <w:link w:val="a8"/>
    <w:uiPriority w:val="99"/>
    <w:semiHidden/>
    <w:rsid w:val="00790DE9"/>
    <w:rPr>
      <w:rFonts w:ascii="Segoe UI" w:eastAsia="Times New Roman" w:hAnsi="Segoe UI" w:cs="Segoe UI"/>
      <w:kern w:val="28"/>
      <w:sz w:val="18"/>
      <w:szCs w:val="18"/>
      <w:lang w:eastAsia="ru-RU"/>
    </w:rPr>
  </w:style>
  <w:style w:type="character" w:customStyle="1" w:styleId="aa">
    <w:name w:val="Основной текст_"/>
    <w:link w:val="12"/>
    <w:rsid w:val="00790DE9"/>
    <w:rPr>
      <w:sz w:val="26"/>
      <w:szCs w:val="26"/>
      <w:shd w:val="clear" w:color="auto" w:fill="FFFFFF"/>
    </w:rPr>
  </w:style>
  <w:style w:type="paragraph" w:customStyle="1" w:styleId="12">
    <w:name w:val="Основной текст1"/>
    <w:basedOn w:val="a"/>
    <w:link w:val="aa"/>
    <w:rsid w:val="00790DE9"/>
    <w:pPr>
      <w:widowControl w:val="0"/>
      <w:shd w:val="clear" w:color="auto" w:fill="FFFFFF"/>
      <w:spacing w:after="0" w:line="240" w:lineRule="auto"/>
      <w:ind w:firstLine="400"/>
    </w:pPr>
    <w:rPr>
      <w:sz w:val="26"/>
      <w:szCs w:val="26"/>
    </w:rPr>
  </w:style>
  <w:style w:type="paragraph" w:styleId="ab">
    <w:name w:val="header"/>
    <w:basedOn w:val="a"/>
    <w:link w:val="ac"/>
    <w:uiPriority w:val="99"/>
    <w:unhideWhenUsed/>
    <w:rsid w:val="00790DE9"/>
    <w:pPr>
      <w:tabs>
        <w:tab w:val="center" w:pos="4677"/>
        <w:tab w:val="right" w:pos="9355"/>
      </w:tabs>
      <w:autoSpaceDE w:val="0"/>
      <w:autoSpaceDN w:val="0"/>
      <w:spacing w:after="0" w:line="240" w:lineRule="auto"/>
    </w:pPr>
    <w:rPr>
      <w:rFonts w:ascii="Times New Roman" w:eastAsia="Times New Roman" w:hAnsi="Times New Roman" w:cs="Times New Roman"/>
      <w:kern w:val="28"/>
      <w:sz w:val="20"/>
      <w:szCs w:val="24"/>
      <w:lang w:eastAsia="ru-RU"/>
    </w:rPr>
  </w:style>
  <w:style w:type="character" w:customStyle="1" w:styleId="ac">
    <w:name w:val="Верхний колонтитул Знак"/>
    <w:basedOn w:val="a0"/>
    <w:link w:val="ab"/>
    <w:uiPriority w:val="99"/>
    <w:rsid w:val="00790DE9"/>
    <w:rPr>
      <w:rFonts w:ascii="Times New Roman" w:eastAsia="Times New Roman" w:hAnsi="Times New Roman" w:cs="Times New Roman"/>
      <w:kern w:val="28"/>
      <w:sz w:val="20"/>
      <w:szCs w:val="24"/>
      <w:lang w:eastAsia="ru-RU"/>
    </w:rPr>
  </w:style>
  <w:style w:type="paragraph" w:styleId="ad">
    <w:name w:val="footer"/>
    <w:basedOn w:val="a"/>
    <w:link w:val="ae"/>
    <w:uiPriority w:val="99"/>
    <w:unhideWhenUsed/>
    <w:rsid w:val="00790DE9"/>
    <w:pPr>
      <w:tabs>
        <w:tab w:val="center" w:pos="4677"/>
        <w:tab w:val="right" w:pos="9355"/>
      </w:tabs>
      <w:autoSpaceDE w:val="0"/>
      <w:autoSpaceDN w:val="0"/>
      <w:spacing w:after="0" w:line="240" w:lineRule="auto"/>
    </w:pPr>
    <w:rPr>
      <w:rFonts w:ascii="Times New Roman" w:eastAsia="Times New Roman" w:hAnsi="Times New Roman" w:cs="Times New Roman"/>
      <w:kern w:val="28"/>
      <w:sz w:val="20"/>
      <w:szCs w:val="24"/>
      <w:lang w:eastAsia="ru-RU"/>
    </w:rPr>
  </w:style>
  <w:style w:type="character" w:customStyle="1" w:styleId="ae">
    <w:name w:val="Нижний колонтитул Знак"/>
    <w:basedOn w:val="a0"/>
    <w:link w:val="ad"/>
    <w:uiPriority w:val="99"/>
    <w:rsid w:val="00790DE9"/>
    <w:rPr>
      <w:rFonts w:ascii="Times New Roman" w:eastAsia="Times New Roman" w:hAnsi="Times New Roman" w:cs="Times New Roman"/>
      <w:kern w:val="28"/>
      <w:sz w:val="20"/>
      <w:szCs w:val="24"/>
      <w:lang w:eastAsia="ru-RU"/>
    </w:rPr>
  </w:style>
  <w:style w:type="character" w:customStyle="1" w:styleId="13">
    <w:name w:val="Просмотренная гиперссылка1"/>
    <w:basedOn w:val="a0"/>
    <w:uiPriority w:val="99"/>
    <w:semiHidden/>
    <w:unhideWhenUsed/>
    <w:rsid w:val="00790DE9"/>
    <w:rPr>
      <w:color w:val="954F72"/>
      <w:u w:val="single"/>
    </w:rPr>
  </w:style>
  <w:style w:type="character" w:styleId="af">
    <w:name w:val="FollowedHyperlink"/>
    <w:basedOn w:val="a0"/>
    <w:uiPriority w:val="99"/>
    <w:semiHidden/>
    <w:unhideWhenUsed/>
    <w:rsid w:val="00790D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yperlink" Target="https://login.consultant.ru/link/?req=doc&amp;base=LAW&amp;n=443283&amp;dst=100399" TargetMode="External"/><Relationship Id="rId39" Type="http://schemas.openxmlformats.org/officeDocument/2006/relationships/image" Target="media/image3.wmf"/><Relationship Id="rId21" Type="http://schemas.openxmlformats.org/officeDocument/2006/relationships/hyperlink" Target="consultantplus://offline/ref=AF48692B31B583D530FBE10A34C63DE9808A4937D9E98A12725252BD15iFdFI" TargetMode="External"/><Relationship Id="rId34" Type="http://schemas.openxmlformats.org/officeDocument/2006/relationships/hyperlink" Target="consultantplus://offline/ref=EAB5E41E7321A9703A9E6BFD6FBBDC0F9CF5CAE882CEC6399C9717520EB32896CE6C807E133B3CC20300A9303DC2D7733322942FCEDCsAE" TargetMode="External"/><Relationship Id="rId42" Type="http://schemas.openxmlformats.org/officeDocument/2006/relationships/hyperlink" Target="https://login.consultant.ru/link/?req=doc&amp;base=LAW&amp;n=302112&amp;dst=100247" TargetMode="External"/><Relationship Id="rId47" Type="http://schemas.openxmlformats.org/officeDocument/2006/relationships/hyperlink" Target="https://login.consultant.ru/link/?req=doc&amp;base=LAW&amp;n=302112&amp;dst=100496" TargetMode="External"/><Relationship Id="rId50" Type="http://schemas.openxmlformats.org/officeDocument/2006/relationships/hyperlink" Target="https://login.consultant.ru/link/?req=doc&amp;base=LAW&amp;n=302112&amp;dst=56" TargetMode="External"/><Relationship Id="rId55" Type="http://schemas.openxmlformats.org/officeDocument/2006/relationships/hyperlink" Target="https://login.consultant.ru/link/?req=doc&amp;base=LAW&amp;n=277906&amp;dst=100011" TargetMode="Externa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https://login.consultant.ru/link/?req=doc&amp;base=LAW&amp;n=443283&amp;dst=100439" TargetMode="External"/><Relationship Id="rId33" Type="http://schemas.openxmlformats.org/officeDocument/2006/relationships/hyperlink" Target="consultantplus://offline/ref=AF48692B31B583D530FBE10A34C63DE9808A4937D9E98A12725252BD15iFdFI" TargetMode="External"/><Relationship Id="rId38" Type="http://schemas.openxmlformats.org/officeDocument/2006/relationships/image" Target="media/image2.wmf"/><Relationship Id="rId46" Type="http://schemas.openxmlformats.org/officeDocument/2006/relationships/hyperlink" Target="https://login.consultant.ru/link/?req=doc&amp;base=LAW&amp;n=302112&amp;dst=100496"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504212&amp;dst=319" TargetMode="External"/><Relationship Id="rId29" Type="http://schemas.openxmlformats.org/officeDocument/2006/relationships/hyperlink" Target="https://login.consultant.ru/link/?req=doc&amp;base=LAW&amp;n=504212&amp;dst=319" TargetMode="External"/><Relationship Id="rId41" Type="http://schemas.openxmlformats.org/officeDocument/2006/relationships/hyperlink" Target="https://login.consultant.ru/link/?req=doc&amp;base=LAW&amp;n=483130" TargetMode="External"/><Relationship Id="rId54" Type="http://schemas.openxmlformats.org/officeDocument/2006/relationships/hyperlink" Target="https://login.consultant.ru/link/?req=doc&amp;base=LAW&amp;n=302112&amp;dst=5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hyperlink" Target="https://login.consultant.ru/link/?req=doc&amp;base=LAW&amp;n=504212&amp;dst=100399" TargetMode="External"/><Relationship Id="rId32" Type="http://schemas.openxmlformats.org/officeDocument/2006/relationships/hyperlink" Target="consultantplus://offline/ref=77255D58529810C30E29198506A50984A2CA1D5388C5D5DEBAAB4283762A268E227D63EF96F2EFA81D9E91277D555D6297122621A3DF0882B5bAJ" TargetMode="External"/><Relationship Id="rId37" Type="http://schemas.openxmlformats.org/officeDocument/2006/relationships/hyperlink" Target="https://login.consultant.ru/link/?req=doc&amp;base=LAW&amp;n=302112&amp;dst=100937" TargetMode="External"/><Relationship Id="rId40" Type="http://schemas.openxmlformats.org/officeDocument/2006/relationships/hyperlink" Target="https://login.consultant.ru/link/?req=doc&amp;base=LAW&amp;n=504212&amp;dst=100955" TargetMode="External"/><Relationship Id="rId45" Type="http://schemas.openxmlformats.org/officeDocument/2006/relationships/hyperlink" Target="https://login.consultant.ru/link/?req=doc&amp;base=LAW&amp;n=304194" TargetMode="External"/><Relationship Id="rId53" Type="http://schemas.openxmlformats.org/officeDocument/2006/relationships/hyperlink" Target="https://login.consultant.ru/link/?req=doc&amp;base=LAW&amp;n=302112&amp;dst=28"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85294&amp;dst=100704" TargetMode="External"/><Relationship Id="rId28" Type="http://schemas.openxmlformats.org/officeDocument/2006/relationships/hyperlink" Target="https://login.consultant.ru/link/?req=doc&amp;base=LAW&amp;n=485294&amp;dst=100015" TargetMode="External"/><Relationship Id="rId36" Type="http://schemas.openxmlformats.org/officeDocument/2006/relationships/hyperlink" Target="https://login.consultant.ru/link/?req=doc&amp;base=LAW&amp;n=475532&amp;dst=101834" TargetMode="External"/><Relationship Id="rId49" Type="http://schemas.openxmlformats.org/officeDocument/2006/relationships/hyperlink" Target="https://login.consultant.ru/link/?req=doc&amp;base=LAW&amp;n=493666&amp;dst=100277" TargetMode="External"/><Relationship Id="rId57" Type="http://schemas.openxmlformats.org/officeDocument/2006/relationships/header" Target="header1.xm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consultantplus://offline/ref=77255D58529810C30E29198506A50984A2C81B5686C7D5DEBAAB4283762A268E227D63EF96F2E9A81A9E91277D555D6297122621A3DF0882B5bAJ" TargetMode="External"/><Relationship Id="rId44" Type="http://schemas.openxmlformats.org/officeDocument/2006/relationships/hyperlink" Target="https://login.consultant.ru/link/?req=doc&amp;base=LAW&amp;n=280991&amp;dst=100083" TargetMode="External"/><Relationship Id="rId52" Type="http://schemas.openxmlformats.org/officeDocument/2006/relationships/hyperlink" Target="https://login.consultant.ru/link/?req=doc&amp;base=LAW&amp;n=302112&amp;dst=25" TargetMode="Externa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https://login.consultant.ru/link/?req=doc&amp;base=LAW&amp;n=485294&amp;dst=100701" TargetMode="External"/><Relationship Id="rId27" Type="http://schemas.openxmlformats.org/officeDocument/2006/relationships/hyperlink" Target="https://login.consultant.ru/link/?req=doc&amp;base=LAW&amp;n=504212&amp;dst=100245" TargetMode="External"/><Relationship Id="rId30" Type="http://schemas.openxmlformats.org/officeDocument/2006/relationships/hyperlink" Target="https://login.consultant.ru/link/?req=doc&amp;base=LAW&amp;n=431832&amp;dst=378" TargetMode="External"/><Relationship Id="rId35" Type="http://schemas.openxmlformats.org/officeDocument/2006/relationships/hyperlink" Target="https://login.consultant.ru/link/?req=doc&amp;base=LAW&amp;n=302112&amp;dst=100935" TargetMode="External"/><Relationship Id="rId43" Type="http://schemas.openxmlformats.org/officeDocument/2006/relationships/hyperlink" Target="https://login.consultant.ru/link/?req=doc&amp;base=LAW&amp;n=302112&amp;dst=100277" TargetMode="External"/><Relationship Id="rId48" Type="http://schemas.openxmlformats.org/officeDocument/2006/relationships/hyperlink" Target="https://login.consultant.ru/link/?req=doc&amp;base=LAW&amp;n=302112&amp;dst=100033" TargetMode="External"/><Relationship Id="rId56" Type="http://schemas.openxmlformats.org/officeDocument/2006/relationships/hyperlink" Target="consultantplus://offline/ref=45BAE80B6225D18B4BA20F4FA66774E05F518A40A68158D1612090418EC00F9911CD6683611DFBFC292BP" TargetMode="External"/><Relationship Id="rId8" Type="http://schemas.openxmlformats.org/officeDocument/2006/relationships/hyperlink" Target="consultantplus://offline/ref=694C0C1B857021786AF5A65C3A0C45569017F07E15E8F7571FB2204145V6y8N" TargetMode="External"/><Relationship Id="rId51" Type="http://schemas.openxmlformats.org/officeDocument/2006/relationships/hyperlink" Target="https://login.consultant.ru/link/?req=doc&amp;base=LAW&amp;n=302970&amp;dst=100189" TargetMode="External"/><Relationship Id="rId3"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21</Pages>
  <Words>9014</Words>
  <Characters>51386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2025-11-24T09:45:00Z</dcterms:created>
  <dcterms:modified xsi:type="dcterms:W3CDTF">2025-11-24T09:45:00Z</dcterms:modified>
</cp:coreProperties>
</file>