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высшего судебного органа Чувашии неотделима от самой ее истории новейшего времени.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малые народы и народности России до XX века не имели своей государственности. Селения, волости, уезды, населенные чувашами, входили в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Казанскую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Симбирскую, отчасти в Нижегородскую губернии. До Октябрьской революции на этих территориях действовали только суды  низшего звена: уездные, волостные и мировые судьи.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1917 год внес существенные изменения в российскую систему судоустройства. Так, декретом  №1 Совнаркома о суде от 24 ноября 1917 года упразднялись  существующие в царской России судебные установления: окружные суды, судебные палаты и правительственный сенат со всеми департаментами, военные и морские суды всех уровней, а также коммерческие суды. При этом все эти установления были заменены судами, образуемыми на основе демократических выборов. Кроме того, приостанавливался институт мировых судей.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же декретом для борьбы против контрреволюционных сил, решения дел о борьбе с мародерством  и хищничеством, саботажем и прочими злоупотреблениями торговцев, промышленников, чиновников и прочих лиц учреждались рабочие и крестьянские  революционные трибуналы в составе председателя и шести очередных заседателей, избираемых губернскими  и городскими Советами рабочих, солдат и крестьянских депутатов.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декретами СНК №2 и №3 о суде, изданными соответственно 7 марта и 20 июля 1918 года, в целях достижения единообразной судебной практики была предпринята попытка создать судебный контроль. Но он был осуществлен лишь тогда, когда 30 ноября 1918 года ВЦИК утвердил «Положение о народном суде Российской Социалистической Федеративной Советской Республики». Причем следует подчеркнуть, что судебный контроль в виде Совета народных судей, как бы прообраза современного суда субъекта России, стал действовать на территории Чувашской автономной области с момента ее образования (24 июня 1920 года).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новой единой трехзвенной  системы  судебных учреждений послужило постановление ВЦИК от 11 ноября 1922 года, которым принято  «Положение о судоустройстве РСФСР», и оно введено в действие на всей территории РСФСР с 1 января 1923 года.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постановления ВЦИК пленум Чувашского облисполкома 25 ноября 1922 года принял решение об объединении Областного революционного  трибунала и Совета народных судей для образования Областного суда Чувашской автономной области.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декабря 1922 года на заседании президиума областного исполнительного комитета Советов  рабочих, крестьянских и красноармейских депутатов Чувашской  автономной области принимается решение следующего содержания: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«На пост председателя Областного суда выдвинуть кандидатуру члена облисполкома т. Спиридонова, на должность первого его заместителя т.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Кормачева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представить в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Наркомюст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 утверждение.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втором заместителе председателя суда сделать дополнительно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подыскании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кандидата».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января 1923 года президиум облисполкома своим решением выделил облсуду административное здание Ревтрибунала и выдвинул вторым заместителем председателя облсуда, членами облсуда П.А. Алексеева, Ф.П. Павлова, А.Д.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Ложникова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А.Г.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Мранова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запасными членами облсуда И.В. Владимирова, П.П. Назарова, Е.В. Захарова и  Артемьева.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в облисполком  из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Наркомюста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поступает телеграмма об утверждении председателем Облсуда Спиридонова М. Ф. и его заместителем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Кормачева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П. 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к 10 январю 1923 года фактически были созданы максимально необходимые  условия для деятельности главного судебного органа Чувашии. Эту дату следует считать днем образования Верховного Суда Чувашской Республики.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суд (согласно положению губернский суд) действовал в качестве судебного центра области  и органа непосредственного надзора за деятельностью подведомственных ему народных судов, а также в качестве кассационной инстанции и суда первой инстанции по делам, отнесенным законом к ведению губернского суда.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составе областной суд имел уголовный и гражданский отделы, при нем состояли дисциплинарная коллегия и трудовая сессия. Все важнейшие вопросы судоустройства и судопроизводства в масштабах области решались на пленарных заседаниях областного суда.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прошло и двух недель, как пленум Областного суда на своем заседании 26 января 1923 года избрал дисциплинарную коллегию в составе М.Ф. Спиридонова, Г.Д. Данилова и Д.З. Захарова. Кстати, впоследствии два члена коллегии тоже стали председателями высшего судебного органа Чувашии. Вслед за этим 3 марта 1923 года  Пленумом облсуда выдвинут А.А.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Акмин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трудовой сессии при облсуде и облисполкомом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эту должность.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Акмин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(девичья фамилия Русланова) Анна Александровна, 3 февраля 1894 года рождения, уроженка г. Ядрин Казанской губернии. Она единственная женщина-судья, более того, имеющая большой опыт педагогической, советско-партийной работы, а также солидное образование (окончила низшую школу, 5 классов женской гимназии, одногодичные и трехгодичные педагогические курсы). Однако она недолго проработала в судебной системе – 28 декабря 1923 года уволилась по собственному желанию, после чего была направлена в распоряжение обкома РК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Б(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С этого момента в области не действовала трудовая сессия, и рассмотрение трудовых споров было возложено на народные суды.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Продолжая экскурс в историю областного суда Чувашской автономии, важно отметить, что он будет неполноценным хотя бы без краткого ознакомления с первым его председателем – Матвеем Филипповичем  Спиридоновым.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Перечитывая вновь и вновь материалы уголовного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архивные документы, со всей очевидностью можно сделать вывод, что он был интеллектуальным, великодушным, сильным и целеустремленным человеком.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представить, что стоило председателю укомплектовать суд кадрами, решить их социально-бытовые вопросы, в конечном счете, сделать все, чтобы суд заработал в полном объеме.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вызывает удивление, как в условиях разрухи, всеобщего обнищания, финансового кризиса он добился разрешения на строительство здания суда и построил его в кратчайшие сроки. Причем следует иметь в виду, что это здание в те времена стало архитектурной достопримечательностью города.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долю Матвея Филипповича выпала тяжкая участь: необоснованная репрессия, бесчисленные допросы, унижения и жестокие истязания, суровые, вплоть до смертного, приговоры и тяжелая болезнь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он проявил непоколебимую стойкость духа.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деятельности областного суда Чувашии это переход от так называемой «революционной законности» к торжеству закона и становлению беспристрастного суда. Если в 17–18-х годах судебные службы в своей работе порой руководствовались всякого рода лозунгами, то в 22–25-ых годах начинает выстраиваться цельная система законодательства, появляются кодексы, в частности, уголовный, гражданский, уголовно-процессуальный и гражданско-процессуальный, а также положения о судопроизводстве, прокурорском надзоре и многое другое.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беспристрастности суда, то достаточно привести  несколько цифр. Так, за время существования областного чуда Чувашии им осуждены 2748 лиц, из них оправданы 564  (20,52%). Если обратиться к народным судам, то такой показатель у них был намного выше.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в 1923 году осуждены народными судами области 6062 лица, из них оправданы 3123,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свидетельствует об ответственном подходе к отправлению правосудия.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октября 1924 года Постановлением ЦИК СССР утверждены Основы судопроизводства Союза ССР и союзных республик. Согласно  ст. 10 Основ в целях осуществления управления и надзора за деятельностью органов юстиции и судов в автономных республиках учреждаются главные или высшие суды.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образованием Чувашской Автономной Социалистической Советской Республики (Декрет ВЦИК от 21 апреля 1925 года) 22 сентября 1925 года облсуд ЧАО был преобразован в Главный суд Чувашской  АССР, и его председателем вновь утвержден М.Ф. Спиридонов, 20 июля 1895 года рождения, уроженец д. Старые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Савруши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Новоадамовской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Чистопольского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кантона Казанской губернии. Умер Матвей Филиппович после тяжелой и продолжительной болезни в застенках ГУЛАГа 1 мая 1942 года. В двадцатые годы энергичного и целеустремленного Матвея Филипповича заметили в верхах и 2 октября 1926 года назначили секретарем Центрального исполнительного комитета Чувашской АССР.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Вместо него 15 октября 1926 года на пост председателя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вступил Алексеев Петр Алексеевич, который родился 7 сентября 1892 года в д. Вторые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Тойзи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Воскресенской волости Чебоксарского уезда Казанской губернии (ныне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Цивильский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Чувашской Республики).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 Алексеевич был человеком неординарным, не имел привычку отмалчиваться и в любое время мог вступить в конфликт с руководителями властных структур, отстаивая свою позицию при решении государственных и общественных вопросов.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нелишне  вспомнить один случай.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1922 года утверждалось Положение о статусе чувашского языка в пределах автономной области, а также принималось постановление о введении во всех народных судах судоговорения и судопроизводства на чувашском языке.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 Алексеевич не согласился с таким постановлением облисполкома и направил в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Наркомюст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протест, в котором говорилось: «Такой лозунг с трибуны государственной власти называется политической ошибкой, а в худшем случае провокацией. Достаточно владеющих чувашским литературным языком или канцелярской терминологией едва ли наберется две дюжины человека».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Следуя избранной первым председателем облсуда линии по укреплению авторитета суда, основанного на принципах законности и справедливости, Петр Алексеевич приложил немало усилий, но уже 17 сентября 1927 года оставил Главный суд и для организации района выехал в г.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Козловку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председателя райисполкома.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считать, что карательная политика государства в некоторой степени отражает его сущность, цели и задачи.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размышления представим читателю некоторые сведения за 1 полугодие 1927 года по Главному суду Чувашской АССР: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разрешенным по существу делам за отчетное полугодие было всего 354 подсудимых, из коих оправдано 92, или 26%, осуждено 262 или 74%.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примененных мер социальной защиты все осужденные располагаются следующим образом: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 имущественное взыскание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или  0,5%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 принудительные работы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или  0,5%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условное осуждение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или 27%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 лишение свободы до 6 мес.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55 или 21%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   лишение свободы от 6 мес. до 1 года 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45 или 17%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    лишение свободы от 1 года до 2 лет 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35 или 13%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    лишение свободы от 2 лет до 5 лет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42  или 16%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     лишение свободы от 5 лет до 10 лет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 или 4,5%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    к расстрелу 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 или 0,5%</w:t>
      </w:r>
    </w:p>
    <w:p w:rsidR="004C771F" w:rsidRPr="004C771F" w:rsidRDefault="004C771F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 со строгой изоляцией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14%</w:t>
      </w:r>
    </w:p>
    <w:p w:rsidR="004C771F" w:rsidRPr="004C771F" w:rsidRDefault="004A2E71" w:rsidP="004A2E71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C771F"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поражением прав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771F"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27%</w:t>
      </w:r>
    </w:p>
    <w:p w:rsid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освобождено от наказания по амнистии </w:t>
      </w:r>
      <w:r w:rsidR="004A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21%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 случай расстрела применен по обвинению по ч. 3 ст. 167 УК – убийство целой семьи с целью  грабежа, приговор утвержден Кассационной коллегией Верховного Суда РСФСР и приведен в исполнение».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Сменивший П.А. Алексеева А.М. Малин руководил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Главсудом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чуть более 1 года 2 месяцев, его заместители П.И. Липатов и В.В.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Анчиков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впоследствии стали председателем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 и прокурором ЧАССР.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 Малин родился 4 ноября 1903 года в г. Цивильске. Он был первым председателем с высшим юридическим образованием (в 1925 году окончил правовое отделение Московского государственного университета).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февраля 1929 года А.М. Малин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занимаемой должности. Он приступил к работе в качестве инспектора общества сельскохозяйственного кредита. С сожалением отмечаем, что с этого момента его следы теряются, и мы не имеем каких-либо других данных  о нем.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 февраля 1929 года Главный суд ЧАССР возглавил Данилов Гордей Данилович, 25 декабря 1891 года рождения. Он являлся односельчанином первого председателя облсуда М.Ф. Спиридонова.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Г.Д. Данилова Главным судом ЧАССР совпало с важным событием в жизни чувашского  народа.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1929 года состоялся III съезд Советов Чувашской АССР, который, наряду  с принятием первого пятилетнего плана развития  народного хозяйства республики, решил вопрос о вхождении Чувашской АССР в состав Нижегородского края, и Чувашия в составе края находилась с августа 1929 по  декабрь 1936 года.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  подчеркнуть, что данное событие не повлекло структурных изменений в Главном суде ЧАССР, но создало чиновничьи препоны.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Пятым по счету председателем Главного суда Чувашской АССР был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Элифанов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Степан Иванович. Он родился 5 марта 1900 года в д. Малые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Кибечи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Шибулгинской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Цивильского уезда Казанской губернии (ныне Канашский район Чувашской Республики).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 Иванович имел честь дважды занимать пост председателя Главного суда ЧАССР (01.10.1929–12.1932 гг.; 20.02.1935– 19.01.1937 гг.).</w:t>
      </w:r>
    </w:p>
    <w:p w:rsidR="004A2E71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Годы его  председательства –  это период, когда вся страна погрузилась в атмосферу страха. В органы ОГПУ, а затем НКВД посыпались доносы, по различным причинам люди признавались в самых страшных преступлениях, которые якобы они совершили против государства и Сталина. Резко усилилась карательная политика. </w:t>
      </w:r>
    </w:p>
    <w:p w:rsid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приводятся сведения об осужденных.</w:t>
      </w:r>
    </w:p>
    <w:p w:rsidR="004A2E71" w:rsidRPr="004C771F" w:rsidRDefault="004A2E71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970" w:type="dxa"/>
        <w:tblInd w:w="72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20"/>
        <w:gridCol w:w="1709"/>
        <w:gridCol w:w="120"/>
        <w:gridCol w:w="1857"/>
        <w:gridCol w:w="120"/>
        <w:gridCol w:w="1864"/>
        <w:gridCol w:w="120"/>
        <w:gridCol w:w="1829"/>
        <w:gridCol w:w="120"/>
      </w:tblGrid>
      <w:tr w:rsidR="004C771F" w:rsidRPr="004C771F" w:rsidTr="004A2E71">
        <w:trPr>
          <w:gridAfter w:val="1"/>
          <w:wAfter w:w="120" w:type="dxa"/>
        </w:trPr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Годы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число осужденных</w:t>
            </w:r>
          </w:p>
        </w:tc>
        <w:tc>
          <w:tcPr>
            <w:tcW w:w="59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Из них</w:t>
            </w:r>
          </w:p>
        </w:tc>
      </w:tr>
      <w:tr w:rsidR="004C771F" w:rsidRPr="004C771F" w:rsidTr="004A2E71">
        <w:trPr>
          <w:gridAfter w:val="1"/>
          <w:wAfter w:w="12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4C771F" w:rsidRPr="004C771F" w:rsidRDefault="004C771F" w:rsidP="004C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4C771F" w:rsidRPr="004C771F" w:rsidRDefault="004C771F" w:rsidP="004C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лишению свободы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</w:t>
            </w:r>
            <w:proofErr w:type="spellEnd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труд</w:t>
            </w:r>
            <w:proofErr w:type="gramStart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аботам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проч. мерам наказания</w:t>
            </w:r>
          </w:p>
        </w:tc>
      </w:tr>
      <w:tr w:rsidR="004C771F" w:rsidRPr="004C771F" w:rsidTr="004A2E71">
        <w:tc>
          <w:tcPr>
            <w:tcW w:w="1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1934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7713 – 100%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6661 – 100%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1376 – 17,8%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1614 – 24,2%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4903 – 63,6%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3908 – 58,7%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1434 – 18,6%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1139 – 17,1%</w:t>
            </w:r>
          </w:p>
        </w:tc>
      </w:tr>
      <w:tr w:rsidR="004C771F" w:rsidRPr="004C771F" w:rsidTr="004A2E71">
        <w:tc>
          <w:tcPr>
            <w:tcW w:w="1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1935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6581 – 100%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6112 – 100%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1634 –24,8%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2274 – 37,2%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3835 – 58,3%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3177 – 52%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1112 – 16,9%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661 – 10,8%</w:t>
            </w:r>
          </w:p>
        </w:tc>
      </w:tr>
      <w:tr w:rsidR="004C771F" w:rsidRPr="004C771F" w:rsidTr="004A2E71">
        <w:tc>
          <w:tcPr>
            <w:tcW w:w="1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1936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A2E71">
              <w:rPr>
                <w:sz w:val="28"/>
                <w:szCs w:val="28"/>
                <w:lang w:eastAsia="ru-RU"/>
              </w:rPr>
              <w:t>полуг</w:t>
            </w:r>
            <w:proofErr w:type="spellEnd"/>
            <w:r w:rsidRPr="004A2E7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5346 – 100%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1604 – 100%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2217 – 41,5%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679 – 42,3%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2454 – 45,9%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721 – 45%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675 – 12,6%</w:t>
            </w:r>
          </w:p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204 – 12,7%</w:t>
            </w:r>
          </w:p>
        </w:tc>
      </w:tr>
    </w:tbl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делам о контрреволюционных преступлениях осуждено: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72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211"/>
        <w:gridCol w:w="2219"/>
        <w:gridCol w:w="2147"/>
      </w:tblGrid>
      <w:tr w:rsidR="004C771F" w:rsidRPr="004C771F" w:rsidTr="004C771F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1935 г.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1936 г.</w:t>
            </w:r>
          </w:p>
        </w:tc>
      </w:tr>
      <w:tr w:rsidR="004C771F" w:rsidRPr="004C771F" w:rsidTr="004C771F">
        <w:trPr>
          <w:trHeight w:val="42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</w:tr>
      <w:tr w:rsidR="004C771F" w:rsidRPr="004C771F" w:rsidTr="004C771F">
        <w:trPr>
          <w:trHeight w:val="405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К высшей мере наказания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5,1%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0,8%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0,9%</w:t>
            </w:r>
          </w:p>
        </w:tc>
      </w:tr>
      <w:tr w:rsidR="004C771F" w:rsidRPr="004C771F" w:rsidTr="004C771F">
        <w:trPr>
          <w:trHeight w:val="405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К лишению свободы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89,8%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99,2%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99,1%</w:t>
            </w:r>
          </w:p>
        </w:tc>
      </w:tr>
    </w:tbl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делам  о контрреволюционной агитации все 100% осуждены к лишению свободы.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делам о применении закона от 7 августа  1932 года (постановление ЦИК и СНК СССР от 7 августа 1932 года «Об охране имущества государственных предприятий, колхозов и кооперации и укреплении общественной (социалистической) собственности») осуждено к лишению свободы сроком на 10 лет: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585"/>
        <w:gridCol w:w="1471"/>
        <w:gridCol w:w="1685"/>
        <w:gridCol w:w="1661"/>
        <w:gridCol w:w="1471"/>
      </w:tblGrid>
      <w:tr w:rsidR="004C771F" w:rsidRPr="004C771F" w:rsidTr="004C771F">
        <w:tc>
          <w:tcPr>
            <w:tcW w:w="3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1934 г.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1935 г.</w:t>
            </w:r>
          </w:p>
        </w:tc>
        <w:tc>
          <w:tcPr>
            <w:tcW w:w="3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C771F" w:rsidRDefault="004C771F" w:rsidP="004C77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1936 г.</w:t>
            </w:r>
          </w:p>
        </w:tc>
      </w:tr>
      <w:tr w:rsidR="004C771F" w:rsidRPr="004C771F" w:rsidTr="004C771F">
        <w:trPr>
          <w:trHeight w:val="27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 1 полугодие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 2 полугодие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 1 полугодие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 2 полугодие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1 полугодие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2 полугодие</w:t>
            </w:r>
          </w:p>
        </w:tc>
      </w:tr>
      <w:tr w:rsidR="004C771F" w:rsidRPr="004C771F" w:rsidTr="004C771F">
        <w:trPr>
          <w:trHeight w:val="15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71,8%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89,2%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97,2%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71F" w:rsidRPr="004A2E71" w:rsidRDefault="004C771F" w:rsidP="004A2E71">
            <w:pPr>
              <w:pStyle w:val="a3"/>
              <w:rPr>
                <w:sz w:val="28"/>
                <w:szCs w:val="28"/>
                <w:lang w:eastAsia="ru-RU"/>
              </w:rPr>
            </w:pPr>
            <w:r w:rsidRPr="004A2E71">
              <w:rPr>
                <w:sz w:val="28"/>
                <w:szCs w:val="28"/>
                <w:lang w:eastAsia="ru-RU"/>
              </w:rPr>
              <w:t>       –       ____</w:t>
            </w:r>
          </w:p>
        </w:tc>
      </w:tr>
    </w:tbl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началом запуска в государстве репрессивной машины взгляды </w:t>
      </w:r>
      <w:bookmarkStart w:id="0" w:name="_GoBack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Степана Ивановича сменились, и он призвал суды к ужесточению </w:t>
      </w:r>
      <w:bookmarkEnd w:id="0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назначаемого наказания. Его  обвинительная речь в судах отличалась строгостью, а зачастую и жестокостью.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Так, в состоявшемся судебном процессе в отношении бывшего председателя облсуда 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М.Ф. Спиридонова с 29 ноября по 10 декабря 1937 года С.И.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Элифанов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прокурор Чувашской АССР, потребовал от суда применения к подсудимому высшей меры социальной защиты – расстрела. Приговор был вынесен, но ему не суждено было вступить в законную силу.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Оправдана ли позиция Степана Ивановича и подлежит ли он моральному осуждению? Ответом на это может быть встречный вопрос: найдутся ли сегодня у нас смельчаки, которые бы в аналогичной обстановке  поступили бы иначе вразрез партийным установкам?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Жернова политических репрессий не  пощадили С.И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Элифанова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 дважды испытал на себе террор Л.П. Берии. В промежутке между 1932 и 1935 годами,  когда С.И.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Элифанов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руководил главным Судом Чувашии, его председателями были М.П. Прохоров и П.И. Липатов.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Прохоров Михаил Прохорович родился 15 мая 1893 года в д.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Уразлино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Цивильского уезда Казанской губернии (ныне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Цивильский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Чувашской Республики). Он проработал председателем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 с 16 декабря 1932 года по 1 декабря 1934 года.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половина 30-х годов характеризуется тем, что появились суды специальной юрисдикции, а также усилением репрессивных и карательных мер.  Так, 10 июля 1934 года ЦИК СССР издал постановление об образовании Наркомата внутренних дел СССР, которое предусматривало ликвидацию судебной коллегии ОГПУ.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же день принято постановление ЦИК СССР «О рассмотрении дел о преступлениях, расследуемых Народным комиссариатом внутренних дел Союза ССР и его местными органами», в соответствии с которыми в составе областных (краевых) судов были образованы, помимо ранее существовавших судебных коллегий по уголовным и гражданским делам, специальные коллегии, действовавшие в составе трех постоянных судей.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спецколлегии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рассматривали поступавшие из НКВД дела по первой инстанции. Председателем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спецколлегии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 был назначен С.И.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Мусатов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членами – С.Я. Гаврилов и П.Д. Семенов. Последний через три года стал ее председателем.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тем, чтобы иметь некоторое представление о судебной деятельности специальной коллегии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ЧАССР, уместно привести несколько примеров из судебных дел: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дер. М.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Таяба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Малояльчикского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кулак Егоров, пролезший в колхоз «Коммунист», занялся индивидуальной обработкой колхозников, доказывая, что с созданием МТС колхозники будут работать много,  а получать мало и призывал к отказу от заключения договора с МТС на обработку полей и, противодействуя сверхраннему севу, вел агитацию: «Раньше  о таковом севе не знали и людей по грязи не мучили, а сейчас  мучают по грязи людей». Егоров осужден к 5 годам тюрьмы».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«Дело №25.  Краснов М.А., служащий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Марпосадской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райгазеты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Осужден на 7 лет тюремного заключения. В день коллективного слушания по 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радио доклада т. Сталина  о Конституции 25 ноября 1936 г. на этот доклад не пошел, заявив: «Зачем ходить слушать доклад Сталина, это бабьи сказки, если бы был Троцкий, я бы пошел слушать. Весной 37 г. будет война, Советский Союз победят, Сталина не будет, а будет Троцкий».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пример. Студент подготовительного отделения Высшей сельскохозяйственной коммунистической школы Т.В. Советов осужден  приговором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спецколлегии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 от 5 января 1937 года к 3 годам лишения свободы за то, что в общежитии школы рассказал анекдот.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декабря 1934 года М.П. Прохоров освободили от должности председателя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ЧАССР и перевели на работу в Прокуратуру ЧАССР в качестве старшего помощника прокурора, а на его место утвердили Липатова Павла Илларионовича.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П.И. Липатов родился 6 января 1887 года в д. Мокрая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Савалеевка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Тильбиевской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Буинского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кантона Симбирской губернии (ныне Республика Татарстан). На должности председателя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проработал  недолго – всего около трех месяцев (1.12.1934 – 20.02.1935).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его избрали председателем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Траковского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райисполкома Чувашской АССР (ныне Красноармейский район). 11 ноября 1937 года П.И. Липатов был арестован на рабочем месте и 12 октября 1939 года осужден выездной сессией Судебной коллегии Верховного Суда РСФСР по ст. 109 УК РФ (злоупотребление властью или служебным положением) к 5 годам лишения свободы.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приговор  изменен определением Судебной коллегии по уголовным делам Верховного Суда Союза ССР от 20 мая 1940 года, и назначенное наказание П.И. Липатову снижено до 2 лет. За отбытием меры наказания из-под стражи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Дальнейшая судьба Павла Илларионовича нам неизвестна. Были приняты огромные усилия в поисках каких-либо данных на него, и нам удалось разыскать внучку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П.И.Липатова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Татьяну Афанасьевну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Доларкас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передала в будущий музей Верховного Суда Чувашской Республики его личные документы и фотоматериалы, что позволит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глубже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всесторонне отразить биографию Павла Илларионовича.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этапом в организации всей судебной системы стало принятие 5 декабря 1936 года  Конституции СССР, которая закрепила основополагающие принципы судоустройства и судопроизводства. Согласно Конституции судьи народного суда избирались гражданами района на основе всеобщего, прямого и равного избирательного права при тайном голосовании сроком на три года, а Верховные суды автономных  республик  избирались Верховным Советом автономных республик сроком на пять лет.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принятием Конституции РСФСР (21 января 1937 года) Президиум ЦИК Чувашской АССР 25 января 1937 года переименовал Главный суд Чувашской АССР в Верховный Суд Чувашской АССР и в тот же день его председателем избрал Захарова Дмитрия Захаровича, 4 декабря 1888 года рождения, уроженца дер. Верхне-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Тимерчеево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Муратовской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Буинского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уезда Симбирской губернии (ныне Комсомольский район Чувашской Республики).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Заместителями председателя суда избраны Б.Ф. Евстропов и Г.С. 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Филиппов.  Недолго пришлось Дмитрию Захаровичу работать на этой должности: 17 октября 1937 года он был снят. С этого дня вплоть до марта 1939 года  обязанности председателя Верховного Суда  Чувашской АССР временно исполнял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Г.С.Филиппов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есть все основания поставить его в один ряд с председателями суда высшего звена судебной системы Чувашии.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Г.С. Филиппов родился 11 сентября 1899 года в с.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Шоркистры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Урмарского района Чувашской Республики.</w:t>
      </w:r>
      <w:proofErr w:type="gramEnd"/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руководства Верховным судом Чувашской АССР Д.З. Захаровым и Г.С. Филипповым репрессивные начала в деятельности правоохранительных органов достигли апогея. Причем после образования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Наркомюста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(1936 г.) административные полномочия Верховного суда были урезаны, его компетенция ограничена вопросами отправления правосудия и надзора за судебной деятельностью народных судов. Вопреки конституционным принципам рассмотрение дел в отношении лиц, подлежащих репрессии, возлагалось на «тройки», «двойки». Размах внесудебных репрессий несколько снизился только с принятием постановления СНК СССР и ЦК ВКП (б) от 17 ноября 1938 года «Об арестах, прокурорском надзоре и ведении следствия», которым «тройки» и «двойки» были ликвидированы, но сохранилось особое совещание НКВД СССР.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Касаясь личности Германа Сергеевича, надо отметить, что он был искренним сторонником господства законности и часто обращал внимание своих коллег на то, что необходимо в первую очередь соблюдать закон, ответственно относиться к своей работе и не забывать о том, что они вершат судьбы людей. «Никто нам не давал прав калечить жизнь людей», – напоминал он своим подчиненным.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не угодил Герман Сергеевич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Наркомюсту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остается загадкой, но 13 мая 1938 года бюро Чувашского обкома ВКП (б) приняло следующее постановление: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связи с тем, что выдвинутую обкомом ВКП (б) на должность председателя Верховного суда Чувашской АССР  кандидатуру Филиппова Г.С. нарком юстиции РСФСР тов. Дмитриев отклонил и сообщил обкому  ВКП (б) о том, что он командирует в Чувашскую АССР товарища для работы в качестве председателя Верховного суда Чувашской АССР, оставить этот вопрос открытым».</w:t>
      </w:r>
      <w:proofErr w:type="gramEnd"/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Москвы так никто и не был прислан, а Г.С. Филиппов в течение года  пяти месяцев замещал должность председателя.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марта 1939 года председателем Верховного суда Чувашской АССР избран Николаев  Игнатий Николаевич, а 28 августа того же года Верховный Совет Чувашской АССР избирает новый состав Верховного суда, подтвердив председателем суда Игнатия Николаевича Николаева, 13 декабря 1904 года рождения, уроженца дер.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Атыково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Шибулгинской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Цивильского  уезда Казанской Губернии (ныне Канашский район Чувашской Республики).</w:t>
      </w:r>
      <w:proofErr w:type="gramEnd"/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было время, когда в соответствии  с законом о судопроизводстве СССР, союзных и автономных республики, принятым 16 августа 1938 года 2-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й сессией Верховного Совета СССР, компетенция Верховного Суда автономной республики по рассмотрению уголовных дел несколько расширилась.  В то же время и тем более в преддверии Великой Отечественной войны был принят ряд указов, которые резко увеличили нагрузку народных судов и Верховного суда Чувашии.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26 июля 1940 года  принят указ Президиума Верховного Совета СССР «О переходе на восьмичасовой рабочий день, на  семидневную рабочую неделю и о запрещении самовольного ухода рабочих и служащих с предприятий и учреждений», согласно которому рабочие и служащие, самовольно ушедшие из государственных, кооперативных и общественных предприятий и учреждений, предавались суду и по приговору народного суда подвергались тюремному заключению сроком от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месяцев до 4 месяцев, а совершение прогула каралось исправительно-трудовыми работами сроком в 6 месяцев.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17 июля и 28 декабря 1940 года приняты  такого же характера указы, касающиеся комбайнеров, трактористов, а также учащихся ремесленных, железнодорожных училищ и школ ФЗО.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марта 1941 года И.Н. Николаев был освобожден от занимаемой должности, и с того же дня  по 16 июня 1945 года Верховный суд ЧАССР возглавлял Алексеев Максим Алексеевич.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годы войны в системе уголовного судопроизводства доминирующими стали упрощенные процессуальные формы и сокращенные сроки, а в уголовном праве возникли новые составы преступления,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жесточались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наказания. В условиях войны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приобрела борьба с распространением ложных слухов, возбуждающих тревогу среди населения, разглашением государственной тайны и за утрату документов, содержащих государственную тайну, а также с дезертирством.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Алексеев родился 26 января 1906 года в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ндоуши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Чурачикской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Цивильского уезда Казанской губернии (ныне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Цивильский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Чувашской Республики).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июня 1945 года М.А. Алексеев назначен народным комиссаром юстиции Чувашской АССР, и на его место был избран Гаршин Ефим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Емельянович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прибывший из Якутской АССР.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Е.Е. Гаршин родом из дер.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Завражное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Тогашевской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волости Чебоксарского уезда Казанской губернии (ныне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Абашевская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сельская администрация Чебоксарского района Чувашской Республики), он родился 10 декабря 1900 года.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Е.Е. Гаршина прочно вошло в историю судебной системы Чувашии в связи с вынесением оправдательного приговора в отношении национального чувашского поэта Петра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Хузангая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Ефим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Емельянович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1933  по 1937 года работал членом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Главсуда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затем Верховного суда Чувашской АССР. За время его работы в Верховный Суд поступило уголовное дело по обвинению П.П.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Хузангая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ст. 58.10 ч. 1 УК РСФСР (контрреволюционная агитация). Дело было  передано Е.Е. Гаршину. 8 августа 1939 года под его председательством по делу был вынесен  оправдательный приговор, что, конечно, не 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удовлетворило и прокуратуру, и властные органы Чувашии. Прокурор Чувашской АССР на приговор суда принес протест, но он был отозван Прокурором РСФСР, которым, в частности, указано: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«Ваш кассационный протест на оправдательный приговор  судебной коллегии  по уголовным делам Верховного суда Чувашской АССР от 3 – 8 августа 1939 года по делу П.П.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Хузангая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обвинявшегося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ст. 58.10 ч. 1 УК РСФСР, я снимаю как необоснованный.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материалов  дела видно, что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Хузангай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будучи молодым писателем, в начале своей литературной деятельности допустил ряд  политических ошибок. В его действиях не установлено контрреволюционного умысла и преступной связи с врагами народа. При таких обстоятельствах привлечение его к уголовной ответственности является неправильным».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Е.Е. Гаршина более 19 лет – с 18 марта 1947 года и по 16 мая 1966 года – бессменным председателем Верховного суда ЧАССР являлся П.Р. Шестипалов, который родился 1 сентября 1907 года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Байгулово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Чебоксарского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уезда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Казанской губернии (ныне Козловский район Чувашской Республики).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его руководства – непростое время, это и послевоенная нехватка квалифицированных юристов с образованием, и растущий из года в год объем работы, и, пожалуй, главное – жесткий контроль над судебной властью со стороны партийных и государственных органов. Кроме того, в связи с упразднением с Министерства юстиции ЧАССР с 1957 года все функции по организации работы народных судов, нотариальных контор и контролю над их деятельностью стал осуществлять Верховный суд ЧАССР. Петр Родионович нес эту двойную нагрузку в течение 9 лет, вплоть до ухода на пенсию.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Требовательный  к себе и другим,  строгий и справедливый,  опытный юрист, грамотный руководитель – так оценивали Петра Родионовича коллеги, родные, друзья.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груз ответственности не мог не сказаться на состоянии здоровья Петра Родионовича, и он принял решение прекратить трудовую деятельность и постановлением Президиума Верховного Совета Чувашской АССР от 16 мая 1966 года был освобожден от обязанностей председателя суда в связи с уходом на пенсию,  одновременно этим постановлением к исполнению обязанностей председателя Верховного суда Чувашской АССР допущен Толстов Иван Иванович, а 29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1966 года постановлением Верховного Совета Чувашской АССР он избран на эту должность.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И.И. Толстов родился 28 ноября 1925 года в дер.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Кумашка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Шумерлинского района Чувашской Республики. Без всякого преувеличения следует отметить, что Иван Иванович проявлял исключительное трудолюбие, он один из тех, кто добился огромной популярности среди юристов.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с 70-х до середины 80-х годов принято считать застойными годами, но это никоим образом не отражалось на деятельности судебной системы. Единственное проявление «застоя» – приоритет командно-</w:t>
      </w: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административных методов, ведомственный подход, отсюда принижение роли судебной власти в общей системе государственного устройства.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общей сложности Иван Иванович посвятил судебной системе 34 года. 15 января 1986 года он был освобожден от занимаемой должности также в связи с уходом на пенсию. В тот же день председателем  Верховного суда Чувашской  АССР стал Петр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Фадеевич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Юркин, 12 февраля 1939 года рождения, уроженец дер. </w:t>
      </w:r>
      <w:proofErr w:type="spell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Балабаш-Нурусово</w:t>
      </w:r>
      <w:proofErr w:type="spell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Батыревского района Чувашской АССР.</w:t>
      </w:r>
    </w:p>
    <w:p w:rsidR="004C771F" w:rsidRPr="004C771F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90-х годов ознаменовалось началом нового этапа развития российского правосудия. В октябре 1991 года состоялся первый съезд судей России, были сформированы органы судейского сообщества: Совет судей Российской Федерации и Высшая  квалификационная коллегия судей Российской Федерации. 26 июня 1992 года был принят  Федеральный закон «О статусе судей в Российской Федерации», который не на бумаге, а реально повысил статус судьи в обществе. В январе 1998 года был образован Судебный департамент при Верховном Суде Российской Федерации и его учреждения в субъектах федерации. Судебный  департамент принял на себя весь комплекс обязанностей по обеспечению деятельности судов.</w:t>
      </w:r>
    </w:p>
    <w:p w:rsidR="004C771F" w:rsidRPr="009E1365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обратить внимание еще на одно событие. В 2001 году Президент страны поручил правительству разработать комплексную программу развития судебной системы. В соответствии с этим была разработана и утверждена постановлением Правительства РФ от 20 ноября 2001 года № 805 Федеральная целевая программа «Развитие судебной системы России на 2002 – 2006 гг.», в соответствии с которой провозглашались развитие и укрепление судебной системы как самостоятельной ветви государственной власти, создание условий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proofErr w:type="gramEnd"/>
      <w:r w:rsidRPr="004C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независимого правосудия.</w:t>
      </w:r>
    </w:p>
    <w:p w:rsidR="004C771F" w:rsidRPr="009E1365" w:rsidRDefault="004C771F" w:rsidP="004C771F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За время существования суда его председателями были, в частности: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М. Ф. Спиридонов (1923–1926);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П. А. Алексеев (1926–1927);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А. М. Малин (1927–1928);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 xml:space="preserve">С. И. </w:t>
      </w:r>
      <w:proofErr w:type="spellStart"/>
      <w:r w:rsidRPr="009E1365">
        <w:rPr>
          <w:rFonts w:ascii="Times New Roman" w:hAnsi="Times New Roman" w:cs="Times New Roman"/>
          <w:sz w:val="28"/>
          <w:szCs w:val="28"/>
        </w:rPr>
        <w:t>Элифанов</w:t>
      </w:r>
      <w:proofErr w:type="spellEnd"/>
      <w:r w:rsidRPr="009E1365">
        <w:rPr>
          <w:rFonts w:ascii="Times New Roman" w:hAnsi="Times New Roman" w:cs="Times New Roman"/>
          <w:sz w:val="28"/>
          <w:szCs w:val="28"/>
        </w:rPr>
        <w:t xml:space="preserve"> (1930–1933, 1935–1936);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М. П. Прохоров (1933–1934);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П. И. Липатов (1934–1935);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Д. З. Захаров (1937–1939);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И. Н. Николаев (1939–1941);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М. А. Алексеев (1941–1945);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lastRenderedPageBreak/>
        <w:t>Е. Е. Гаршин (1945–1947);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П. Р. Шестипалов (1947–1966);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И. И. Толстов (1966–1986);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П. Ф. Юркин (1986–2005);</w:t>
      </w:r>
    </w:p>
    <w:p w:rsidR="004C771F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Н. П. Порфирьев (2005–2017);</w:t>
      </w:r>
    </w:p>
    <w:p w:rsidR="00C475A7" w:rsidRPr="009E1365" w:rsidRDefault="004C771F" w:rsidP="004C771F">
      <w:pPr>
        <w:rPr>
          <w:rFonts w:ascii="Times New Roman" w:hAnsi="Times New Roman" w:cs="Times New Roman"/>
          <w:sz w:val="28"/>
          <w:szCs w:val="28"/>
        </w:rPr>
      </w:pPr>
      <w:r w:rsidRPr="009E1365">
        <w:rPr>
          <w:rFonts w:ascii="Times New Roman" w:hAnsi="Times New Roman" w:cs="Times New Roman"/>
          <w:sz w:val="28"/>
          <w:szCs w:val="28"/>
        </w:rPr>
        <w:t>А. П. Петров (с 2017) по настоящее время.</w:t>
      </w:r>
    </w:p>
    <w:sectPr w:rsidR="00C475A7" w:rsidRPr="009E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8C"/>
    <w:rsid w:val="004A2E71"/>
    <w:rsid w:val="004C771F"/>
    <w:rsid w:val="008A418C"/>
    <w:rsid w:val="009E1365"/>
    <w:rsid w:val="00C4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4585</Words>
  <Characters>26138</Characters>
  <Application>Microsoft Office Word</Application>
  <DocSecurity>0</DocSecurity>
  <Lines>217</Lines>
  <Paragraphs>61</Paragraphs>
  <ScaleCrop>false</ScaleCrop>
  <Company/>
  <LinksUpToDate>false</LinksUpToDate>
  <CharactersWithSpaces>30662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4</cp:revision>
  <dcterms:created xsi:type="dcterms:W3CDTF">2026-01-22T12:43:00Z</dcterms:created>
  <dcterms:modified xsi:type="dcterms:W3CDTF">2026-01-23T06:37:00Z</dcterms:modified>
</cp:coreProperties>
</file>