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5E" w:rsidRDefault="00E3425E">
      <w:pPr>
        <w:pStyle w:val="ConsPlusNormal"/>
        <w:spacing w:before="280"/>
        <w:jc w:val="right"/>
      </w:pPr>
      <w:r>
        <w:t xml:space="preserve">В ______________________________________________ районный суд </w:t>
      </w:r>
      <w:hyperlink w:anchor="Par85" w:history="1">
        <w:r>
          <w:rPr>
            <w:color w:val="0000FF"/>
          </w:rPr>
          <w:t>&lt;1&gt;</w:t>
        </w:r>
      </w:hyperlink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jc w:val="right"/>
      </w:pPr>
      <w:r>
        <w:t>Истец: __________________________________________________________</w:t>
      </w:r>
    </w:p>
    <w:p w:rsidR="00E3425E" w:rsidRDefault="00E3425E">
      <w:pPr>
        <w:pStyle w:val="ConsPlusNormal"/>
        <w:jc w:val="right"/>
      </w:pPr>
      <w:r>
        <w:t xml:space="preserve">(Ф.И.О. или наименование) </w:t>
      </w:r>
      <w:hyperlink w:anchor="Par86" w:history="1">
        <w:r>
          <w:rPr>
            <w:color w:val="0000FF"/>
          </w:rPr>
          <w:t>&lt;2&gt;</w:t>
        </w:r>
      </w:hyperlink>
    </w:p>
    <w:p w:rsidR="00E3425E" w:rsidRDefault="00E3425E">
      <w:pPr>
        <w:pStyle w:val="ConsPlusNormal"/>
        <w:jc w:val="right"/>
      </w:pPr>
      <w:r>
        <w:t>адрес: _________________________________________________________,</w:t>
      </w:r>
    </w:p>
    <w:p w:rsidR="00E3425E" w:rsidRDefault="00E3425E">
      <w:pPr>
        <w:pStyle w:val="ConsPlusNormal"/>
        <w:jc w:val="right"/>
      </w:pPr>
      <w:r>
        <w:t>телефон: _______________________, факс: ________________________,</w:t>
      </w:r>
    </w:p>
    <w:p w:rsidR="00E3425E" w:rsidRDefault="00E3425E">
      <w:pPr>
        <w:pStyle w:val="ConsPlusNormal"/>
        <w:jc w:val="right"/>
      </w:pPr>
      <w:r>
        <w:t>адрес электронной почты: _______________________________________,</w:t>
      </w:r>
    </w:p>
    <w:p w:rsidR="00E3425E" w:rsidRDefault="00E3425E">
      <w:pPr>
        <w:pStyle w:val="ConsPlusNormal"/>
        <w:jc w:val="right"/>
      </w:pPr>
      <w:r>
        <w:t>дата и место рождения: _________________________________________,</w:t>
      </w:r>
    </w:p>
    <w:p w:rsidR="00E3425E" w:rsidRDefault="00E3425E">
      <w:pPr>
        <w:pStyle w:val="ConsPlusNormal"/>
        <w:jc w:val="right"/>
      </w:pPr>
      <w:r>
        <w:t>идентификатор гражданина: _______________________________________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jc w:val="right"/>
      </w:pPr>
      <w:r>
        <w:t xml:space="preserve">Представитель истца: ________________________________________ </w:t>
      </w:r>
      <w:hyperlink w:anchor="Par87" w:history="1">
        <w:r>
          <w:rPr>
            <w:color w:val="0000FF"/>
          </w:rPr>
          <w:t>&lt;3&gt;</w:t>
        </w:r>
      </w:hyperlink>
    </w:p>
    <w:p w:rsidR="00E3425E" w:rsidRDefault="00E3425E">
      <w:pPr>
        <w:pStyle w:val="ConsPlusNormal"/>
        <w:jc w:val="right"/>
      </w:pPr>
      <w:r>
        <w:t>адрес: _________________________________________________________,</w:t>
      </w:r>
    </w:p>
    <w:p w:rsidR="00E3425E" w:rsidRDefault="00E3425E">
      <w:pPr>
        <w:pStyle w:val="ConsPlusNormal"/>
        <w:jc w:val="right"/>
      </w:pPr>
      <w:r>
        <w:t>телефон: _______________________, факс: ________________________,</w:t>
      </w:r>
    </w:p>
    <w:p w:rsidR="00E3425E" w:rsidRDefault="00E3425E">
      <w:pPr>
        <w:pStyle w:val="ConsPlusNormal"/>
        <w:jc w:val="right"/>
      </w:pPr>
      <w:r>
        <w:t>адрес электронной почты: _______________________________________,</w:t>
      </w:r>
    </w:p>
    <w:p w:rsidR="00E3425E" w:rsidRDefault="00E3425E">
      <w:pPr>
        <w:pStyle w:val="ConsPlusNormal"/>
        <w:jc w:val="right"/>
      </w:pPr>
      <w:r>
        <w:t>идентификатор гражданина: _______________________________________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jc w:val="right"/>
      </w:pPr>
      <w:r>
        <w:t xml:space="preserve">Ответчик: __________________________________________ (Ф.И.О.) </w:t>
      </w:r>
      <w:hyperlink w:anchor="Par86" w:history="1">
        <w:r>
          <w:rPr>
            <w:color w:val="0000FF"/>
          </w:rPr>
          <w:t>&lt;2&gt;</w:t>
        </w:r>
      </w:hyperlink>
    </w:p>
    <w:p w:rsidR="00E3425E" w:rsidRDefault="00E3425E">
      <w:pPr>
        <w:pStyle w:val="ConsPlusNormal"/>
        <w:jc w:val="right"/>
      </w:pPr>
      <w:r>
        <w:t>адрес: _________________________________________________________,</w:t>
      </w:r>
    </w:p>
    <w:p w:rsidR="00E3425E" w:rsidRDefault="00E3425E">
      <w:pPr>
        <w:pStyle w:val="ConsPlusNormal"/>
        <w:jc w:val="right"/>
      </w:pPr>
      <w:r>
        <w:t>телефон: ______________________, факс: _________________________,</w:t>
      </w:r>
    </w:p>
    <w:p w:rsidR="00E3425E" w:rsidRDefault="00E3425E">
      <w:pPr>
        <w:pStyle w:val="ConsPlusNormal"/>
        <w:jc w:val="right"/>
      </w:pPr>
      <w:r>
        <w:t>адрес электронной почты: _______________________________________,</w:t>
      </w:r>
    </w:p>
    <w:p w:rsidR="00E3425E" w:rsidRDefault="00E3425E">
      <w:pPr>
        <w:pStyle w:val="ConsPlusNormal"/>
        <w:jc w:val="right"/>
      </w:pPr>
      <w:r>
        <w:t>дата и место рождения: _________________________ (если известны),</w:t>
      </w:r>
    </w:p>
    <w:p w:rsidR="00E3425E" w:rsidRDefault="00E3425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</w:t>
      </w:r>
      <w:proofErr w:type="gramEnd"/>
    </w:p>
    <w:p w:rsidR="00E3425E" w:rsidRDefault="00E3425E">
      <w:pPr>
        <w:pStyle w:val="ConsPlusNormal"/>
        <w:jc w:val="right"/>
      </w:pPr>
      <w:r>
        <w:t>место работы: __________________________________ (если известно),</w:t>
      </w:r>
    </w:p>
    <w:p w:rsidR="00E3425E" w:rsidRDefault="00E3425E">
      <w:pPr>
        <w:pStyle w:val="ConsPlusNormal"/>
        <w:jc w:val="right"/>
      </w:pPr>
      <w:r>
        <w:t>идентификатор гражданина: _______________________ (если известен)</w:t>
      </w:r>
    </w:p>
    <w:p w:rsidR="00E3425E" w:rsidRDefault="00E3425E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jc w:val="right"/>
      </w:pPr>
      <w:r>
        <w:t xml:space="preserve">Цена иска: ___________________________ рублей </w:t>
      </w:r>
      <w:hyperlink w:anchor="Par88" w:history="1">
        <w:r>
          <w:rPr>
            <w:color w:val="0000FF"/>
          </w:rPr>
          <w:t>&lt;4&gt;</w:t>
        </w:r>
      </w:hyperlink>
    </w:p>
    <w:p w:rsidR="00E3425E" w:rsidRDefault="00E3425E">
      <w:pPr>
        <w:pStyle w:val="ConsPlusNormal"/>
        <w:jc w:val="right"/>
      </w:pPr>
      <w:r>
        <w:t xml:space="preserve">Госпошлина: __________________________ рублей </w:t>
      </w:r>
      <w:hyperlink w:anchor="Par89" w:history="1">
        <w:r>
          <w:rPr>
            <w:color w:val="0000FF"/>
          </w:rPr>
          <w:t>&lt;5&gt;</w:t>
        </w:r>
      </w:hyperlink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jc w:val="center"/>
      </w:pPr>
      <w:r>
        <w:t>Исковое заявление</w:t>
      </w:r>
    </w:p>
    <w:p w:rsidR="00E3425E" w:rsidRDefault="00E3425E">
      <w:pPr>
        <w:pStyle w:val="ConsPlusNormal"/>
        <w:jc w:val="center"/>
      </w:pPr>
      <w:r>
        <w:t>о взыскании задолженности</w:t>
      </w:r>
    </w:p>
    <w:p w:rsidR="00E3425E" w:rsidRDefault="00E3425E">
      <w:pPr>
        <w:pStyle w:val="ConsPlusNormal"/>
        <w:jc w:val="center"/>
      </w:pPr>
      <w:r>
        <w:t>по оплате коммунальных услуг в порядке регресса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 xml:space="preserve">Истец является _________________ (например, собственником) жилого помещения общей площадью ____ кв. м, жилой площадью _____ кв. м по адресу: ________________________________, кадастровый номер ____. Ответчик обязан оплачивать коммунальные услуги за указанное жилое помещение, поскольку ____________________________________________ (например, является сособственником или нанимателем жилого помещения), что подтверждается _________________________________ </w:t>
      </w:r>
      <w:hyperlink w:anchor="Par91" w:history="1">
        <w:r>
          <w:rPr>
            <w:color w:val="0000FF"/>
          </w:rPr>
          <w:t>&lt;6&gt;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Вариант, если истец и ответчик сособственники жилого помещения. Финансовый лицевой счет на данное жилое помещение не разделен, что подтверждается копией финансового лицевого счета.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 xml:space="preserve">На основании </w:t>
      </w:r>
      <w:hyperlink r:id="rId4" w:history="1">
        <w:r>
          <w:rPr>
            <w:color w:val="0000FF"/>
          </w:rPr>
          <w:t>ст. 249</w:t>
        </w:r>
      </w:hyperlink>
      <w:r>
        <w:t xml:space="preserve">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обязательных платежей по общему имуществу, а также в расходах и издержках по его содержанию и сохранению.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Вариант, если ответчик является нанимателем жилого помещения. В соответствии с </w:t>
      </w:r>
      <w:hyperlink r:id="rId5" w:history="1">
        <w:r>
          <w:rPr>
            <w:color w:val="0000FF"/>
          </w:rPr>
          <w:t>абз. 3 ст. 678</w:t>
        </w:r>
      </w:hyperlink>
      <w:r>
        <w:t xml:space="preserve"> Гражданского кодекса Российской Федерации наниматель обязан своевременно 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lastRenderedPageBreak/>
        <w:t xml:space="preserve">Согласно п. ___ договора коммерческого найма жилого помещения от "___"_________ ___ </w:t>
      </w:r>
      <w:proofErr w:type="gramStart"/>
      <w:r>
        <w:t>г</w:t>
      </w:r>
      <w:proofErr w:type="gramEnd"/>
      <w:r>
        <w:t>. N___ Ответчик обязан самостоятельно оплачивать коммунальные услуги за период действия указанного договора в полном объеме.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153</w:t>
        </w:r>
      </w:hyperlink>
      <w:r>
        <w:t xml:space="preserve">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155</w:t>
        </w:r>
      </w:hyperlink>
      <w:r>
        <w:t xml:space="preserve"> Жилищного кодекса Российской Федерации плата за жилое помещение и коммунальные услуги вносится на основании: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1) платежных документов (в том числе платежных документов в электронной форме, размещенных в системе), представленных не позднее первого числа месяца, следующего за истекшим месяцем, если иной срок не установлен договором управления многоквартирным </w:t>
      </w:r>
      <w:proofErr w:type="gramStart"/>
      <w:r>
        <w:t>домом</w:t>
      </w:r>
      <w:proofErr w:type="gramEnd"/>
      <w: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кооператива;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2) информации о размере платы за жилое помещение и коммунальные услуги, задолженности по оплате жилых помещений и коммунальных услуг, размещенной в системе или в иных информационных системах, позволяющих внести плату за жилое помещение и коммунальные услуги.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В соответствии с платежными документами от "___"__________ ____ </w:t>
      </w:r>
      <w:proofErr w:type="gramStart"/>
      <w:r>
        <w:t>г</w:t>
      </w:r>
      <w:proofErr w:type="gramEnd"/>
      <w:r>
        <w:t xml:space="preserve">. N ___ и от "___"__________ ____ г. N ___ размер платы за жилое помещение составил ___________ (________) рублей. Однако в период с "___"__________ ____ </w:t>
      </w:r>
      <w:proofErr w:type="gramStart"/>
      <w:r>
        <w:t>г</w:t>
      </w:r>
      <w:proofErr w:type="gramEnd"/>
      <w:r>
        <w:t>. по "___"__________ ____ г. Ответчик коммунальные услуги не оплатил, Истцу денег для их оплаты не предоставил, что подтверждается _______________________________.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"__"__________ _____ </w:t>
      </w:r>
      <w:proofErr w:type="gramStart"/>
      <w:r>
        <w:t>г</w:t>
      </w:r>
      <w:proofErr w:type="gramEnd"/>
      <w:r>
        <w:t>. к Истцу обратилась _____________________ (наименование ресурсоснабжающей/управляющей организации) с требованием погашения задолженности по оплате коммунальных услуг в размере ___________________ (_________________) рублей, что подтверждается ________________________________________.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"__"____________ ____ </w:t>
      </w:r>
      <w:proofErr w:type="gramStart"/>
      <w:r>
        <w:t>г</w:t>
      </w:r>
      <w:proofErr w:type="gramEnd"/>
      <w:r>
        <w:t>. Истец обратился к Ответчику с требованием погасить задолженность за эксплуатационные и коммунальные услуги. Однако Ответчик требование не удовлетворил (или: оставил без ответа), что подтверждается _______________________________.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Во избежание неблагоприятных последствий все счета на сумму</w:t>
      </w:r>
      <w:proofErr w:type="gramStart"/>
      <w:r>
        <w:t xml:space="preserve"> ________ (___________) </w:t>
      </w:r>
      <w:proofErr w:type="gramEnd"/>
      <w:r>
        <w:t>рублей оплатил Истец, что подтверждается ___________________________.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Вариант, если истец и ответчик сособственники жилого помещения. В силу </w:t>
      </w:r>
      <w:hyperlink r:id="rId8" w:history="1">
        <w:r>
          <w:rPr>
            <w:color w:val="0000FF"/>
          </w:rPr>
          <w:t>п. 1 ст. 322</w:t>
        </w:r>
      </w:hyperlink>
      <w:r>
        <w:t xml:space="preserve"> Гражданского кодекса Российской Федерации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По оплате коммунальных услуг Истец и Ответчик являются солидарными должниками.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9" w:history="1">
        <w:r>
          <w:rPr>
            <w:color w:val="0000FF"/>
          </w:rPr>
          <w:t>пп. 1 п. 2 ст. 325</w:t>
        </w:r>
      </w:hyperlink>
      <w:r>
        <w:t xml:space="preserve"> Гражданского кодекса Российской Федерации, если иное не вытекает из отношений между солидарными должниками, должник, исполнивший солидарную обязанность, имеет право регрессного требования к остальным должникам в равных долях за вычетом доли, падающей на него самого.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lastRenderedPageBreak/>
        <w:t xml:space="preserve">Вариант, если ответчик является нанимателем жилого помещения. В соответствии с </w:t>
      </w:r>
      <w:hyperlink r:id="rId10" w:history="1">
        <w:r>
          <w:rPr>
            <w:color w:val="0000FF"/>
          </w:rPr>
          <w:t>п. 1 ст. 1081</w:t>
        </w:r>
      </w:hyperlink>
      <w:r>
        <w:t xml:space="preserve"> Гражданского кодекса Российской Федерации лицо, возместившее вред, причиненный другим лицом,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>Сумма долга Ответчика перед Истцом составляет</w:t>
      </w:r>
      <w:proofErr w:type="gramStart"/>
      <w:r>
        <w:t xml:space="preserve"> _______ (_____________) </w:t>
      </w:r>
      <w:proofErr w:type="gramEnd"/>
      <w:r>
        <w:t>рублей (расчет прилагается), что подтверждается ___________________________.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 ____ N _____ о погашении долга по оплате коммунальных услуг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_____________________________________________________________ (или: осталось без ответа), что подтверждается _________________________________________________________________ </w:t>
      </w:r>
      <w:hyperlink w:anchor="Par94" w:history="1">
        <w:r>
          <w:rPr>
            <w:color w:val="0000FF"/>
          </w:rPr>
          <w:t>&lt;7&gt;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E3425E" w:rsidRDefault="00E3425E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1" w:history="1">
        <w:r>
          <w:rPr>
            <w:color w:val="0000FF"/>
          </w:rPr>
          <w:t>ст. 249</w:t>
        </w:r>
      </w:hyperlink>
      <w:r>
        <w:t xml:space="preserve">, </w:t>
      </w:r>
      <w:hyperlink r:id="rId12" w:history="1">
        <w:r>
          <w:rPr>
            <w:color w:val="0000FF"/>
          </w:rPr>
          <w:t>п. 1 ст. 322</w:t>
        </w:r>
      </w:hyperlink>
      <w:r>
        <w:t xml:space="preserve">, </w:t>
      </w:r>
      <w:hyperlink r:id="rId13" w:history="1">
        <w:r>
          <w:rPr>
            <w:color w:val="0000FF"/>
          </w:rPr>
          <w:t>пп. 1 п. 2 ст. 325</w:t>
        </w:r>
      </w:hyperlink>
      <w:r>
        <w:t xml:space="preserve"> (вариант: </w:t>
      </w:r>
      <w:hyperlink r:id="rId14" w:history="1">
        <w:r>
          <w:rPr>
            <w:color w:val="0000FF"/>
          </w:rPr>
          <w:t>абз. 3 ст. 678</w:t>
        </w:r>
      </w:hyperlink>
      <w:r>
        <w:t xml:space="preserve">, </w:t>
      </w:r>
      <w:hyperlink r:id="rId15" w:history="1">
        <w:r>
          <w:rPr>
            <w:color w:val="0000FF"/>
          </w:rPr>
          <w:t>п. 1 ст. 1081</w:t>
        </w:r>
      </w:hyperlink>
      <w:r>
        <w:t xml:space="preserve">) Гражданского кодекса Российской Федерации, </w:t>
      </w:r>
      <w:hyperlink r:id="rId16" w:history="1">
        <w:r>
          <w:rPr>
            <w:color w:val="0000FF"/>
          </w:rPr>
          <w:t>ч. 1 ст. 153</w:t>
        </w:r>
      </w:hyperlink>
      <w:r>
        <w:t xml:space="preserve">, </w:t>
      </w:r>
      <w:hyperlink r:id="rId17" w:history="1">
        <w:r>
          <w:rPr>
            <w:color w:val="0000FF"/>
          </w:rPr>
          <w:t>ч. 2 ст. 155</w:t>
        </w:r>
      </w:hyperlink>
      <w:r>
        <w:t xml:space="preserve"> Жилищного кодекса Российской Федерации, </w:t>
      </w:r>
      <w:hyperlink r:id="rId18" w:history="1">
        <w:r>
          <w:rPr>
            <w:color w:val="0000FF"/>
          </w:rPr>
          <w:t>ч. 1 ст. 98</w:t>
        </w:r>
      </w:hyperlink>
      <w:r>
        <w:t xml:space="preserve">, </w:t>
      </w:r>
      <w:hyperlink r:id="rId19" w:history="1">
        <w:r>
          <w:rPr>
            <w:color w:val="0000FF"/>
          </w:rPr>
          <w:t>ст. ст. 131</w:t>
        </w:r>
      </w:hyperlink>
      <w:r>
        <w:t xml:space="preserve">, </w:t>
      </w:r>
      <w:hyperlink r:id="rId20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>1. Взыскать с Ответчика в пользу Истца сумму долга по оплате коммунальных услуг в размере</w:t>
      </w:r>
      <w:proofErr w:type="gramStart"/>
      <w:r>
        <w:t xml:space="preserve"> _________ (_____________) </w:t>
      </w:r>
      <w:proofErr w:type="gramEnd"/>
      <w:r>
        <w:t>рублей.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расходов по уплате государственной пошлины в размере</w:t>
      </w:r>
      <w:proofErr w:type="gramStart"/>
      <w:r>
        <w:t xml:space="preserve"> ____________ (____________) </w:t>
      </w:r>
      <w:proofErr w:type="gramEnd"/>
      <w:r>
        <w:t>рублей.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>Приложение: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1. Копии правоустанавливающих документов Истца на жилое помещение </w:t>
      </w:r>
      <w:hyperlink w:anchor="Par91" w:history="1">
        <w:r>
          <w:rPr>
            <w:color w:val="0000FF"/>
          </w:rPr>
          <w:t>&lt;6&gt;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3. Выписка из домовой книги.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4. Копии платежных документов на оплату коммунальных услуг.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5. Копии оплаченных Истцом счетов по оплате коммунальных услуг.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7. Копия требования (претензии) Истца от "___"__________ ____ </w:t>
      </w:r>
      <w:proofErr w:type="gramStart"/>
      <w:r>
        <w:t>г</w:t>
      </w:r>
      <w:proofErr w:type="gramEnd"/>
      <w:r>
        <w:t xml:space="preserve">. N ___ </w:t>
      </w:r>
      <w:hyperlink w:anchor="Par94" w:history="1">
        <w:r>
          <w:rPr>
            <w:color w:val="0000FF"/>
          </w:rPr>
          <w:t>&lt;7&gt;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8. Доказательства отказа Ответчика от удовлетворения требования (претензии) Истца </w:t>
      </w:r>
      <w:hyperlink w:anchor="Par94" w:history="1">
        <w:r>
          <w:rPr>
            <w:color w:val="0000FF"/>
          </w:rPr>
          <w:t>&lt;7&gt;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9. Документы, подтверждающие совершение действий, направленных на примирение (если такие документы имеются).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11. Документ, подтверждающий уплату государственной пошлины (или право на получение </w:t>
      </w:r>
      <w:r>
        <w:lastRenderedPageBreak/>
        <w:t xml:space="preserve">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ar89" w:history="1">
        <w:r>
          <w:rPr>
            <w:color w:val="0000FF"/>
          </w:rPr>
          <w:t>&lt;5&gt;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12.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87" w:history="1">
        <w:r>
          <w:rPr>
            <w:color w:val="0000FF"/>
          </w:rPr>
          <w:t>&lt;3&gt;</w:t>
        </w:r>
      </w:hyperlink>
      <w:r>
        <w:t>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13. Иные документы, подтверждающие обстоятельства, на которых Истец основывает свои требования.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>Истец (представитель):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__________________ (подпись) / ____________________ (Ф.И.О.)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  <w:r>
        <w:t>--------------------------------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0" w:name="Par85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1" w:history="1">
        <w:r>
          <w:rPr>
            <w:color w:val="0000FF"/>
          </w:rPr>
          <w:t>ст. ст. 23</w:t>
        </w:r>
      </w:hyperlink>
      <w:r>
        <w:t xml:space="preserve"> и </w:t>
      </w:r>
      <w:hyperlink r:id="rId22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1" w:name="Par8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3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2" w:name="Par8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4" w:history="1">
        <w:r>
          <w:rPr>
            <w:color w:val="0000FF"/>
          </w:rPr>
          <w:t>ст. ст. 49</w:t>
        </w:r>
      </w:hyperlink>
      <w:r>
        <w:t xml:space="preserve"> - </w:t>
      </w:r>
      <w:hyperlink r:id="rId2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3" w:name="Par88"/>
      <w:bookmarkEnd w:id="3"/>
      <w:r>
        <w:t xml:space="preserve">&lt;4&gt; Цена иска по искам о взыскании денежных средств, согласно </w:t>
      </w:r>
      <w:hyperlink r:id="rId26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4" w:name="Par89"/>
      <w:bookmarkEnd w:id="4"/>
      <w:r>
        <w:t xml:space="preserve">&lt;5&gt; Госпошлина при подаче искового заявления имущественного характера, подлежащего оценке, определяется в соответствии с </w:t>
      </w:r>
      <w:hyperlink r:id="rId27" w:history="1">
        <w:r>
          <w:rPr>
            <w:color w:val="0000FF"/>
          </w:rPr>
          <w:t>пп. 1 п. 1 ст. 333.19</w:t>
        </w:r>
      </w:hyperlink>
      <w:r>
        <w:t xml:space="preserve"> Налогового кодекса Российской Федерации.</w:t>
      </w:r>
    </w:p>
    <w:p w:rsidR="00E3425E" w:rsidRDefault="00E3425E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8" w:history="1">
        <w:r>
          <w:rPr>
            <w:color w:val="0000FF"/>
          </w:rPr>
          <w:t>ст. 333.35</w:t>
        </w:r>
      </w:hyperlink>
      <w:r>
        <w:t xml:space="preserve">, </w:t>
      </w:r>
      <w:hyperlink r:id="rId29" w:history="1">
        <w:r>
          <w:rPr>
            <w:color w:val="0000FF"/>
          </w:rPr>
          <w:t>п. п. 2</w:t>
        </w:r>
      </w:hyperlink>
      <w:r>
        <w:t xml:space="preserve"> и </w:t>
      </w:r>
      <w:hyperlink r:id="rId30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5" w:name="Par91"/>
      <w:bookmarkEnd w:id="5"/>
      <w:r>
        <w:t xml:space="preserve">&lt;6&gt; Согласно </w:t>
      </w:r>
      <w:hyperlink r:id="rId3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5 ст. 1</w:t>
        </w:r>
      </w:hyperlink>
      <w:r>
        <w:t xml:space="preserve"> Федерального закона от 13.07.2015 N 218-ФЗ "О государственной регистрации недвижимости"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</w:t>
      </w:r>
    </w:p>
    <w:p w:rsidR="00E3425E" w:rsidRDefault="00E3425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32" w:history="1">
        <w:r>
          <w:rPr>
            <w:color w:val="0000FF"/>
          </w:rPr>
          <w:t>ч. 1 ст. 28</w:t>
        </w:r>
      </w:hyperlink>
      <w:r>
        <w:t xml:space="preserve"> Федерального закона от 13.07.2015 N 218-ФЗ "О государственной регистрации недвижимости"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 договора</w:t>
      </w:r>
      <w:proofErr w:type="gramEnd"/>
      <w:r>
        <w:t xml:space="preserve"> или иной сделки, удостоверяются выпиской из Единого государственного реестра недвижимости.</w:t>
      </w:r>
    </w:p>
    <w:p w:rsidR="00E3425E" w:rsidRDefault="00E3425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33" w:history="1">
        <w:r>
          <w:rPr>
            <w:color w:val="0000FF"/>
          </w:rPr>
          <w:t>ч. 1 ст. 69</w:t>
        </w:r>
      </w:hyperlink>
      <w:r>
        <w:t xml:space="preserve"> Федерального закона от 13.07.2015 N 218-ФЗ "О государственной </w:t>
      </w:r>
      <w:r>
        <w:lastRenderedPageBreak/>
        <w:t xml:space="preserve">регистрации недвижимости" права на объекты недвижимости, возникшие до дня вступления в силу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21.07.1997 N 122-ФЗ "О государственной регистрации прав на недвижимое имущество и сделок с ним", признаются юридически действительными при отсутствии их государственной регистрации в Едином государственном реестре недвижимости.</w:t>
      </w:r>
      <w:proofErr w:type="gramEnd"/>
      <w:r>
        <w:t xml:space="preserve"> Государственная регистрация таких прав в Едином государственном реестре недвижимости проводится по желанию их обладателей.</w:t>
      </w:r>
    </w:p>
    <w:p w:rsidR="00E3425E" w:rsidRDefault="00E3425E">
      <w:pPr>
        <w:pStyle w:val="ConsPlusNormal"/>
        <w:spacing w:before="220"/>
        <w:ind w:firstLine="540"/>
        <w:jc w:val="both"/>
      </w:pPr>
      <w:bookmarkStart w:id="6" w:name="Par94"/>
      <w:bookmarkEnd w:id="6"/>
      <w:r>
        <w:t xml:space="preserve">&lt;7&gt; Согласно </w:t>
      </w:r>
      <w:hyperlink r:id="rId35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ind w:firstLine="540"/>
        <w:jc w:val="both"/>
      </w:pPr>
    </w:p>
    <w:p w:rsidR="00E3425E" w:rsidRDefault="00E342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04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3425E"/>
    <w:rsid w:val="000733C7"/>
    <w:rsid w:val="00B04605"/>
    <w:rsid w:val="00C97EDB"/>
    <w:rsid w:val="00E3425E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42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577" TargetMode="External"/><Relationship Id="rId13" Type="http://schemas.openxmlformats.org/officeDocument/2006/relationships/hyperlink" Target="https://login.consultant.ru/link/?req=doc&amp;base=LAW&amp;n=508490&amp;dst=101588" TargetMode="External"/><Relationship Id="rId18" Type="http://schemas.openxmlformats.org/officeDocument/2006/relationships/hyperlink" Target="https://login.consultant.ru/link/?req=doc&amp;base=LAW&amp;n=502317&amp;dst=100476" TargetMode="External"/><Relationship Id="rId26" Type="http://schemas.openxmlformats.org/officeDocument/2006/relationships/hyperlink" Target="https://login.consultant.ru/link/?req=doc&amp;base=LAW&amp;n=502317&amp;dst=1004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110" TargetMode="External"/><Relationship Id="rId34" Type="http://schemas.openxmlformats.org/officeDocument/2006/relationships/hyperlink" Target="https://login.consultant.ru/link/?req=doc&amp;base=LAW&amp;n=201820" TargetMode="External"/><Relationship Id="rId7" Type="http://schemas.openxmlformats.org/officeDocument/2006/relationships/hyperlink" Target="https://login.consultant.ru/link/?req=doc&amp;base=LAW&amp;n=523355&amp;dst=101421" TargetMode="External"/><Relationship Id="rId12" Type="http://schemas.openxmlformats.org/officeDocument/2006/relationships/hyperlink" Target="https://login.consultant.ru/link/?req=doc&amp;base=LAW&amp;n=508490&amp;dst=101577" TargetMode="External"/><Relationship Id="rId17" Type="http://schemas.openxmlformats.org/officeDocument/2006/relationships/hyperlink" Target="https://login.consultant.ru/link/?req=doc&amp;base=LAW&amp;n=523355&amp;dst=101421" TargetMode="External"/><Relationship Id="rId25" Type="http://schemas.openxmlformats.org/officeDocument/2006/relationships/hyperlink" Target="https://login.consultant.ru/link/?req=doc&amp;base=LAW&amp;n=502317&amp;dst=100253" TargetMode="External"/><Relationship Id="rId33" Type="http://schemas.openxmlformats.org/officeDocument/2006/relationships/hyperlink" Target="https://login.consultant.ru/link/?req=doc&amp;base=LAW&amp;n=523571&amp;dst=1008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st=100892" TargetMode="External"/><Relationship Id="rId20" Type="http://schemas.openxmlformats.org/officeDocument/2006/relationships/hyperlink" Target="https://login.consultant.ru/link/?req=doc&amp;base=LAW&amp;n=502317&amp;dst=100643" TargetMode="External"/><Relationship Id="rId29" Type="http://schemas.openxmlformats.org/officeDocument/2006/relationships/hyperlink" Target="https://login.consultant.ru/link/?req=doc&amp;base=LAW&amp;n=495706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0892" TargetMode="External"/><Relationship Id="rId11" Type="http://schemas.openxmlformats.org/officeDocument/2006/relationships/hyperlink" Target="https://login.consultant.ru/link/?req=doc&amp;base=LAW&amp;n=508490&amp;dst=101309" TargetMode="External"/><Relationship Id="rId24" Type="http://schemas.openxmlformats.org/officeDocument/2006/relationships/hyperlink" Target="https://login.consultant.ru/link/?req=doc&amp;base=LAW&amp;n=502317&amp;dst=1208" TargetMode="External"/><Relationship Id="rId32" Type="http://schemas.openxmlformats.org/officeDocument/2006/relationships/hyperlink" Target="https://login.consultant.ru/link/?req=doc&amp;base=LAW&amp;n=523571&amp;dst=10044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506&amp;dst=100928" TargetMode="External"/><Relationship Id="rId15" Type="http://schemas.openxmlformats.org/officeDocument/2006/relationships/hyperlink" Target="https://login.consultant.ru/link/?req=doc&amp;base=LAW&amp;n=508506&amp;dst=102669" TargetMode="External"/><Relationship Id="rId23" Type="http://schemas.openxmlformats.org/officeDocument/2006/relationships/hyperlink" Target="https://login.consultant.ru/link/?req=doc&amp;base=LAW&amp;n=502317&amp;dst=100630" TargetMode="External"/><Relationship Id="rId28" Type="http://schemas.openxmlformats.org/officeDocument/2006/relationships/hyperlink" Target="https://login.consultant.ru/link/?req=doc&amp;base=LAW&amp;n=495706&amp;dst=122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8506&amp;dst=102669" TargetMode="External"/><Relationship Id="rId19" Type="http://schemas.openxmlformats.org/officeDocument/2006/relationships/hyperlink" Target="https://login.consultant.ru/link/?req=doc&amp;base=LAW&amp;n=502317&amp;dst=100628" TargetMode="External"/><Relationship Id="rId31" Type="http://schemas.openxmlformats.org/officeDocument/2006/relationships/hyperlink" Target="https://login.consultant.ru/link/?req=doc&amp;base=LAW&amp;n=523571&amp;dst=100956" TargetMode="External"/><Relationship Id="rId4" Type="http://schemas.openxmlformats.org/officeDocument/2006/relationships/hyperlink" Target="https://login.consultant.ru/link/?req=doc&amp;base=LAW&amp;n=508490&amp;dst=101309" TargetMode="External"/><Relationship Id="rId9" Type="http://schemas.openxmlformats.org/officeDocument/2006/relationships/hyperlink" Target="https://login.consultant.ru/link/?req=doc&amp;base=LAW&amp;n=508490&amp;dst=101588" TargetMode="External"/><Relationship Id="rId14" Type="http://schemas.openxmlformats.org/officeDocument/2006/relationships/hyperlink" Target="https://login.consultant.ru/link/?req=doc&amp;base=LAW&amp;n=508506&amp;dst=100928" TargetMode="External"/><Relationship Id="rId22" Type="http://schemas.openxmlformats.org/officeDocument/2006/relationships/hyperlink" Target="https://login.consultant.ru/link/?req=doc&amp;base=LAW&amp;n=502317&amp;dst=100122" TargetMode="External"/><Relationship Id="rId27" Type="http://schemas.openxmlformats.org/officeDocument/2006/relationships/hyperlink" Target="https://login.consultant.ru/link/?req=doc&amp;base=LAW&amp;n=495706&amp;dst=12791" TargetMode="External"/><Relationship Id="rId30" Type="http://schemas.openxmlformats.org/officeDocument/2006/relationships/hyperlink" Target="https://login.consultant.ru/link/?req=doc&amp;base=LAW&amp;n=495706&amp;dst=11647" TargetMode="External"/><Relationship Id="rId35" Type="http://schemas.openxmlformats.org/officeDocument/2006/relationships/hyperlink" Target="https://login.consultant.ru/link/?req=doc&amp;base=LAW&amp;n=502317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2250</Words>
  <Characters>12825</Characters>
  <Application>Microsoft Office Word</Application>
  <DocSecurity>0</DocSecurity>
  <Lines>106</Lines>
  <Paragraphs>30</Paragraphs>
  <ScaleCrop>false</ScaleCrop>
  <Company/>
  <LinksUpToDate>false</LinksUpToDate>
  <CharactersWithSpaces>15045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2026-02-07T09:15:00Z</dcterms:created>
  <dcterms:modified xsi:type="dcterms:W3CDTF">2026-02-07T09:15:00Z</dcterms:modified>
</cp:coreProperties>
</file>