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18" w:rsidRPr="00AD0818" w:rsidRDefault="00AD0818" w:rsidP="00AD0818">
      <w:pPr>
        <w:shd w:val="clear" w:color="auto" w:fill="FFFFFF"/>
        <w:spacing w:after="255" w:line="480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  <w:proofErr w:type="gramStart"/>
      <w:r w:rsidRPr="00AD0818"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  <w:t>Приказ Судебного департамента при Верховном Суде РФ от 17 июля 2017 г. № 132 “Об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интересов”</w:t>
      </w:r>
      <w:proofErr w:type="gramEnd"/>
    </w:p>
    <w:p w:rsidR="00AD0818" w:rsidRPr="00AD0818" w:rsidRDefault="00AD0818" w:rsidP="00AD0818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D0818">
        <w:rPr>
          <w:rFonts w:ascii="Arial" w:eastAsia="Times New Roman" w:hAnsi="Arial" w:cs="Arial"/>
          <w:sz w:val="21"/>
          <w:szCs w:val="21"/>
          <w:lang w:eastAsia="ru-RU"/>
        </w:rPr>
        <w:t>27 сентября 2017</w:t>
      </w:r>
      <w:bookmarkStart w:id="0" w:name="_GoBack"/>
      <w:bookmarkEnd w:id="0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0"/>
      <w:bookmarkEnd w:id="1"/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В соответствии со статьями 18 и 19 Федерального закона от 27 июля 2004 г. № 79-ФЗ «О государственной гражданской службе Российской Федерации», Федеральным законом от 25 декабря 2008 г. № 273-ФЗ «О противодействии коррупции», Положением о комиссиях по соблюдению требований к служебному поведению федеральных государственных служащих и урегулированию конфликта интересов,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утвержденным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Указом Президента Российской Федерации от 1 июля 2010 г. № 821, а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также постановлением Президиума Совета судей Российской Федерации от 8 февраля 2017 г. № 540,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юрисдикции, федеральных арбитражных судов и управлений Судебного департамента в субъектах Российской Федерации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 Федерации, приказываю: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1. Утвердить прилагаемое </w:t>
      </w:r>
      <w:hyperlink r:id="rId5" w:anchor="1000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Типовое положение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(далее - Типовое положение).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2. Председателям федеральных судов общей юрисдикции, председателям федеральных арбитражных судов и начальникам управлений Судебного департамента в субъектах Российской Федерации: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2.1.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управлений Судебного департамента в субъектах Российской Федерации и урегулированию конфликта интересов.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2.2. Руководствоваться в работе </w:t>
      </w:r>
      <w:hyperlink r:id="rId6" w:anchor="1000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Типовым положением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3. Начальникам управлений Судебного департамента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субъектах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Российской Федерации: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3.1.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3.2.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периодичностью: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за первое полугодие отчетного года - до 1 августа;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за второе полугодие - до 1 февраля.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Признать утратившим силу приказ Судебного департамента при Верховном Суде Российской Федерации от 29 ноября 2010 г. № 263 «Об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интересов».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5.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Контроль за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по вопросам противодействия коррупции.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383"/>
      </w:tblGrid>
      <w:tr w:rsidR="00AD0818" w:rsidRPr="00AD0818" w:rsidTr="00AD0818">
        <w:tc>
          <w:tcPr>
            <w:tcW w:w="2500" w:type="pct"/>
            <w:hideMark/>
          </w:tcPr>
          <w:p w:rsidR="00AD0818" w:rsidRPr="00AD0818" w:rsidRDefault="00AD0818" w:rsidP="00AD0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End"/>
          </w:p>
        </w:tc>
        <w:tc>
          <w:tcPr>
            <w:tcW w:w="2500" w:type="pct"/>
            <w:hideMark/>
          </w:tcPr>
          <w:p w:rsidR="00AD0818" w:rsidRPr="00AD0818" w:rsidRDefault="00AD0818" w:rsidP="00AD0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Гусев</w:t>
            </w:r>
          </w:p>
        </w:tc>
      </w:tr>
    </w:tbl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УТВЕРЖДЕНО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br/>
      </w:r>
      <w:hyperlink r:id="rId7" w:anchor="0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Судебного департамента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br/>
        <w:t>при Верховном Суде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br/>
        <w:t>от 17 июля 2017 г. № 132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AD081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Типовое положение</w:t>
      </w:r>
      <w:r w:rsidRPr="00AD0818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1.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 (далее - Типовое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юрисдикции, федерального арбитражного суда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и управления Судебного департамента в субъекте Российской Федерации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департаментом).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Типовым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3. Основными задачами Комиссии являются: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обеспечение соблюдения федеральными государственными гражданскими служащими федерального суда общей юрисдикции, федерального арбитражного суда и управления Судебного департамента в субъекте Российской Федерации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 273-ФЗ «О противодействии коррупции», другими федеральными законами (далее - требования к служебному поведению и (или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) требования об урегулировании конфликта интересов);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б) осуществление в федеральном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суде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общей юрисдикции, федеральном арбитражном суде (далее - суды, суд) и управлении Судебного департамента в субъекте Российской Федерации (далее - управление) мер по предупреждению коррупции.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5. Образование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5.1.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Комиссия образуется совместным приказом начальника управления и председателей верховных судов республик, краевых, областных судов, судов городов федерального значения, суда автономной области, судов автономных округов (далее - областные и равные им суды), председателей окружных (флотских) военных судов,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гарнизонных военных судов, а также председателей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суда.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Указанным актом утверждаются состав Комиссии и порядок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работы.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Представитель нанимателя не может быть членом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6. В состав Комиссии входят: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а) федеральный государственный гражданский служащий управления,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чьи должностные обязанности входит осуществление противодействия коррупции (секретарь комиссии).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судьи и (или) федеральные государственные гражданские служащие областных и равных им судов;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в) судьи и (или) федеральные государственные гражданские служащие окружных (флотских) военных судов и гарнизонных военных судов;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г) судьи и (или) федеральные государственные гражданские служащие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д) судьи и (или) федеральные государственные гражданские служащие районных судов;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е) представитель (представители) научных организаций и образовательных учреждений среднего, высшего и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дополнительного профессионального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образования, деятельность которых связана с государственной службой.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ж) представитель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профсоюзной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организации управления и (или) суда.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7. Формирование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7.1. В целях определения лиц, указанных в </w:t>
      </w:r>
      <w:hyperlink r:id="rId8" w:anchor="106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«б»-«е»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положения, начальник управления направляет соответствующие запросы председателям областных и равных им судов, председателям окружных (флотских) военных судов, председателям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суда, а также в научные организации и учреждения среднего, высшего и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дополнительного профессионального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образования субъекта Российской Федерации.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7.2.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Лице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, указанные в </w:t>
      </w:r>
      <w:hyperlink r:id="rId9" w:anchor="106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«б»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10" w:anchor="1065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«д»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включаются в состав комиссии в установленном порядке по представлению председателя областного и равного ему суда.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7.3.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Лица, указанные в </w:t>
      </w:r>
      <w:hyperlink r:id="rId11" w:anchor="1063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«в»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включаются в состав комиссии в установленном порядке по представлению председателя окружного (флотского) военного суда, юрисдикция которого в соответствии с Федеральным законом от 27 декабря 2009 года № 345-ФЗ «О территориальной юрисдикции окружных (флотских) военных судов» распространяется на территорию соответствующего субъекта Российской Федерации.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7.4.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Лица, указанные в </w:t>
      </w:r>
      <w:hyperlink r:id="rId12" w:anchor="1064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«г»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включаются в состав комиссии в установленном порядке по представлениям председателей арбитражных судов округов, арбитражных апелляционных судов, арбитражных судов субъектов Российской Федерации и специализированного арбитражного суда.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7.5. Лица, указанные в </w:t>
      </w:r>
      <w:hyperlink r:id="rId13" w:anchor="1066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«е»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дополнительного профессионального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образования.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7.6. Определение лиц, указанных в </w:t>
      </w:r>
      <w:hyperlink r:id="rId14" w:anchor="106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«б</w:t>
        </w:r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»-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«е» пункта 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осуществляется в 10-дневный срок со дня получения запроса начальника управления.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10.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заседаниях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Комиссии с правом совещательного голоса участвуют: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б) 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члена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включенного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 повестку дня заседания Комиссии, он обязан до начала заседания заявить об этом.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таком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случае соответствующий член Комиссии не принимает участия в рассмотрении указанного вопроса.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13.Основаниями для проведения заседания Комиссии являются: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представление представителем нанимателя в соответствии с пунктом 32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 1065, материалов проверки, свидетельствующих: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б) 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суда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либо управления, ответственному за работу по профилактике коррупционных и иных правонарушений: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обращение гражданина, замещавшего в суде либо управлении должность гражданской службы,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включенную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лет со дня увольнения с государственной гражданской службы;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заявление федерального государственного гражданского служащего о невозможности выполнить требования Федерального закона от 7 мая 2013 г. № 79-ФЗ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которая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приводит или может привести к конфликту интересов;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в) 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суде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либо управлении мер по предупреждению коррупции;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г) 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3 декабря 2012 г.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доходам»);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д) поступившее в соответствии с частью 4 статьи 12 Федерального закона от 25 декабря 2008 г. № 273-ФЗ «О противодействии коррупции» и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статьей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),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15. Обращение, указанное в </w:t>
      </w:r>
      <w:hyperlink r:id="rId15" w:anchor="11321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втором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подается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подразделении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 273-ФЗ «О противодействии коррупции». Обращение, заключение и другие материалы в течение 7 дней направляются по решению представителя нанимателя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16.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Обращение, указанное в </w:t>
      </w:r>
      <w:hyperlink r:id="rId16" w:anchor="11321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положения, может быть подано государственным служащим, планирующим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свое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увольнение с федеральной государственной гражданской службы, и подлежит рассмотрению Комиссией в соответствии с настоящим Типовым положением.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17.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Уведомление, указанное в </w:t>
      </w:r>
      <w:hyperlink r:id="rId17" w:anchor="1135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«д»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 2008 г. № 273-ФЗ «О противодействии коррупции».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Уведомление, заключение и другие материалы в течение 7 дней направляются по решению представителя нанимателя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18. Уведомление, указанное в </w:t>
      </w:r>
      <w:hyperlink r:id="rId18" w:anchor="11325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пятом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по результатам рассмотрения уведомления. Уведомление, заключение и другие материалы в течение 7 дней направляются по решению представителя нанимателя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19.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При подготовке мотивированного заключения по результатам рассмотрения обращения, указанного в </w:t>
      </w:r>
      <w:hyperlink r:id="rId19" w:anchor="11321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или уведомлений, указанных в </w:t>
      </w:r>
      <w:hyperlink r:id="rId20" w:anchor="11325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 пятом подпункта «б»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21" w:anchor="1135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«д»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направлять в установленном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порядке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Указанный срок может быть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продлен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, но не более чем на 30 дней.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20. Материалы проверки, указанные в </w:t>
      </w:r>
      <w:hyperlink r:id="rId22" w:anchor="11312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абзацах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втором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23" w:anchor="11313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третьем подпункта «а»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hyperlink r:id="rId24" w:anchor="1134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«г»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в течение 7 дней направляются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21. Заявления, указанные в </w:t>
      </w:r>
      <w:hyperlink r:id="rId25" w:anchor="11322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абзацах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третьем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begin"/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instrText xml:space="preserve"> HYPERLINK "https://www.garant.ru/products/ipo/prime/doc/71670166/" \l "11324" </w:instrTex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separate"/>
      </w:r>
      <w:r w:rsidRPr="00AD0818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четвертом</w:t>
      </w:r>
      <w:proofErr w:type="spellEnd"/>
      <w:r w:rsidRPr="00AD0818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 xml:space="preserve"> подпункта «б» пункта 13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end"/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и материалы к ним в течение 7 дней направляются по решению представителя нанимателя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22. Представление председателя суда либо начальника управления или любого члена Комиссии, указанное в </w:t>
      </w:r>
      <w:hyperlink r:id="rId26" w:anchor="1133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«в»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и материалы к нему в течение 7 дней направляются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в) рассматривает ходатайства о приглашении на заседание Комиссии лиц, указанных в </w:t>
      </w:r>
      <w:hyperlink r:id="rId27" w:anchor="110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 «б» пункта 10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24. Секретарь комиссии по поручению председателя комиссии: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подготавливает проекты запросов (кроме запросов, касающихся осуществления оперативно-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разыскной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подготавливает мотивированное заключение по каждому материалу,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включенному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 повестку дня заседания Комиссии;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извещает членов Комиссии о дате, времени и месте заседания, а также о вопросах,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включенных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 повестку дня, не позднее 7 дней до дня заседания Комиссии;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дней до дня заседания Комиссии;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ведёт протоколирование заседания комиссии;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выполняет иные поручения председателя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Секретарь Комиссии при принятии решений обладает правами члена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25. Заседание комиссии по рассмотрению заявлений, указанных в </w:t>
      </w:r>
      <w:hyperlink r:id="rId28" w:anchor="1132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абзацах третьем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и 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begin"/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instrText xml:space="preserve"> HYPERLINK "https://www.garant.ru/products/ipo/prime/doc/71670166/" \l "11324" </w:instrTex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separate"/>
      </w:r>
      <w:r w:rsidRPr="00AD0818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>четвертом</w:t>
      </w:r>
      <w:proofErr w:type="spellEnd"/>
      <w:r w:rsidRPr="00AD0818">
        <w:rPr>
          <w:rFonts w:ascii="Arial" w:eastAsia="Times New Roman" w:hAnsi="Arial" w:cs="Arial"/>
          <w:sz w:val="23"/>
          <w:szCs w:val="23"/>
          <w:u w:val="single"/>
          <w:bdr w:val="none" w:sz="0" w:space="0" w:color="auto" w:frame="1"/>
          <w:lang w:eastAsia="ru-RU"/>
        </w:rPr>
        <w:t xml:space="preserve"> подпункта «б» пункта 13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fldChar w:fldCharType="end"/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26. Уведомление, указанное в </w:t>
      </w:r>
      <w:hyperlink r:id="rId29" w:anchor="1135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«д»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как правило, рассматривается на очередном (плановом) заседании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27. 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представляемых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председателю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28. 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а) если в обращении, заявлении или уведомлении,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предусмотренных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> </w:t>
      </w:r>
      <w:hyperlink r:id="rId30" w:anchor="113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б) если федеральный государственный гражданский служащий или гражданин, намеревающиеся лично присутствовать на заседании Комиссии и надлежащим образом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извещенные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 времени и месте его проведения, не явились на заседание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29. 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30. Члены Комиссии и лица, участвовавшие в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заседании, не вправе разглашать сведения, ставшие им известными в ходе работы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31. По итогам рассмотрения вопроса, указанного в </w:t>
      </w:r>
      <w:hyperlink r:id="rId31" w:anchor="11312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втором подпункта «а»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 1065, являются достоверными и полными;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32. По итогам рассмотрения вопроса, указанного в </w:t>
      </w:r>
      <w:hyperlink r:id="rId32" w:anchor="11313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третьем подпункта «а»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33. По итогам рассмотрения вопроса, указанного в </w:t>
      </w:r>
      <w:hyperlink r:id="rId33" w:anchor="11321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втором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34. По итогам рассмотрения вопроса, указанного в </w:t>
      </w:r>
      <w:hyperlink r:id="rId34" w:anchor="11322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третьем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35. По итогам рассмотрения вопроса, указанного в </w:t>
      </w:r>
      <w:hyperlink r:id="rId35" w:anchor="11324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четвертом</w:t>
        </w:r>
        <w:proofErr w:type="spell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осуществления контроля за расходами, в органы прокуратуры и (или) иные государственные органы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соответствии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с их компетенцией).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36. По итогам рассмотрения вопроса, указанного в </w:t>
      </w:r>
      <w:hyperlink r:id="rId36" w:anchor="11325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пятом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</w:t>
      </w: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нанимателя принять меры по урегулированию конфликта интересов или по недопущению его возникновения).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37. По итогам рассмотрения вопроса, предусмотренного </w:t>
      </w:r>
      <w:hyperlink r:id="rId37" w:anchor="1133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«в»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соответствующее решение.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38. По итогам рассмотрения вопроса, указанного в </w:t>
      </w:r>
      <w:hyperlink r:id="rId38" w:anchor="1134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«г»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осуществления контроля за расходами, в органы прокуратуры и (или) иные государственные органы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соответствии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с их компетенцией).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39. По итогам рассмотрения вопроса, указанного в </w:t>
      </w:r>
      <w:hyperlink r:id="rId39" w:anchor="1135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подпункте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«д»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 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40. По итогам рассмотрения вопросов, указанных в </w:t>
      </w:r>
      <w:hyperlink r:id="rId40" w:anchor="1131" w:history="1">
        <w:proofErr w:type="gramStart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подпунктах</w:t>
        </w:r>
        <w:proofErr w:type="gramEnd"/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«а»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, </w:t>
      </w:r>
      <w:hyperlink r:id="rId41" w:anchor="1132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«б»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, </w:t>
      </w:r>
      <w:hyperlink r:id="rId42" w:anchor="1134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«г»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, </w:t>
      </w:r>
      <w:hyperlink r:id="rId43" w:anchor="1135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«д»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при наличии к тому оснований Комиссия может принять иное решение, чем это предусмотрено </w:t>
      </w:r>
      <w:hyperlink r:id="rId44" w:anchor="1031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пунктами 31-36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, </w:t>
      </w:r>
      <w:hyperlink r:id="rId45" w:anchor="1038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38 - 39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положения. Основания и мотивы принятия такого решения должны быть отражены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протоколе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заседания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42. Решения Комиссии по вопросам, указанным в </w:t>
      </w:r>
      <w:hyperlink r:id="rId46" w:anchor="1013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пункте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> настоящего Типового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43. Решения Комиссии оформляются протоколами, которые подписывают члены Комиссии, принимавшие участие в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заседании.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44. Решения Комиссии, за исключением решения, принимаемого по итогам рассмотрения вопроса, указанного в </w:t>
      </w:r>
      <w:hyperlink r:id="rId47" w:anchor="11321" w:history="1">
        <w:r w:rsidRPr="00AD0818">
          <w:rPr>
            <w:rFonts w:ascii="Arial" w:eastAsia="Times New Roman" w:hAnsi="Arial" w:cs="Arial"/>
            <w:sz w:val="23"/>
            <w:szCs w:val="23"/>
            <w:u w:val="single"/>
            <w:bdr w:val="none" w:sz="0" w:space="0" w:color="auto" w:frame="1"/>
            <w:lang w:eastAsia="ru-RU"/>
          </w:rPr>
          <w:t>абзаце втором подпункта «б» пункта 13</w:t>
        </w:r>
      </w:hyperlink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 настоящего Типового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абзаце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втором подпункта «б» пункта 13 настоящего Типового положения, носит обязательный характер.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45. 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протоколе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заседания Комиссии указываются: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ж) другие сведения;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з) результаты голосования (в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возникших разногласий);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и) решение и обоснование его принятия.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46. Член Комиссии, несогласный с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ее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решением, вправе в письменной форме изложить </w:t>
      </w:r>
      <w:proofErr w:type="spell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свое</w:t>
      </w:r>
      <w:proofErr w:type="spell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мнение, которое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подлежит обязательному приобщению к протоколу заседания Комиссии и с которым должен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быть ознакомлен федеральный государственный гражданский служащий.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47. 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компетенции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Решение представителя нанимателя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оглашается на ближайшем заседании Комиссии и принимается</w:t>
      </w:r>
      <w:proofErr w:type="gramEnd"/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 к сведению без обсуждения.</w:t>
      </w:r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49.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 xml:space="preserve">50. </w:t>
      </w:r>
      <w:proofErr w:type="gramStart"/>
      <w:r w:rsidRPr="00AD0818">
        <w:rPr>
          <w:rFonts w:ascii="Arial" w:eastAsia="Times New Roman" w:hAnsi="Arial" w:cs="Arial"/>
          <w:sz w:val="23"/>
          <w:szCs w:val="23"/>
          <w:lang w:eastAsia="ru-RU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D0818" w:rsidRPr="00AD0818" w:rsidRDefault="00AD0818" w:rsidP="00AD081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D0818">
        <w:rPr>
          <w:rFonts w:ascii="Arial" w:eastAsia="Times New Roman" w:hAnsi="Arial" w:cs="Arial"/>
          <w:sz w:val="23"/>
          <w:szCs w:val="23"/>
          <w:lang w:eastAsia="ru-RU"/>
        </w:rPr>
        <w:t>51. 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E40E9" w:rsidRDefault="008E40E9"/>
    <w:sectPr w:rsidR="008E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7A"/>
    <w:rsid w:val="008E40E9"/>
    <w:rsid w:val="00AD0818"/>
    <w:rsid w:val="00C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D0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D0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71670166/" TargetMode="External"/><Relationship Id="rId18" Type="http://schemas.openxmlformats.org/officeDocument/2006/relationships/hyperlink" Target="https://www.garant.ru/products/ipo/prime/doc/71670166/" TargetMode="External"/><Relationship Id="rId26" Type="http://schemas.openxmlformats.org/officeDocument/2006/relationships/hyperlink" Target="https://www.garant.ru/products/ipo/prime/doc/71670166/" TargetMode="External"/><Relationship Id="rId39" Type="http://schemas.openxmlformats.org/officeDocument/2006/relationships/hyperlink" Target="https://www.garant.ru/products/ipo/prime/doc/7167016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71670166/" TargetMode="External"/><Relationship Id="rId34" Type="http://schemas.openxmlformats.org/officeDocument/2006/relationships/hyperlink" Target="https://www.garant.ru/products/ipo/prime/doc/71670166/" TargetMode="External"/><Relationship Id="rId42" Type="http://schemas.openxmlformats.org/officeDocument/2006/relationships/hyperlink" Target="https://www.garant.ru/products/ipo/prime/doc/71670166/" TargetMode="External"/><Relationship Id="rId47" Type="http://schemas.openxmlformats.org/officeDocument/2006/relationships/hyperlink" Target="https://www.garant.ru/products/ipo/prime/doc/71670166/" TargetMode="External"/><Relationship Id="rId7" Type="http://schemas.openxmlformats.org/officeDocument/2006/relationships/hyperlink" Target="https://www.garant.ru/products/ipo/prime/doc/71670166/" TargetMode="External"/><Relationship Id="rId12" Type="http://schemas.openxmlformats.org/officeDocument/2006/relationships/hyperlink" Target="https://www.garant.ru/products/ipo/prime/doc/71670166/" TargetMode="External"/><Relationship Id="rId17" Type="http://schemas.openxmlformats.org/officeDocument/2006/relationships/hyperlink" Target="https://www.garant.ru/products/ipo/prime/doc/71670166/" TargetMode="External"/><Relationship Id="rId25" Type="http://schemas.openxmlformats.org/officeDocument/2006/relationships/hyperlink" Target="https://www.garant.ru/products/ipo/prime/doc/71670166/" TargetMode="External"/><Relationship Id="rId33" Type="http://schemas.openxmlformats.org/officeDocument/2006/relationships/hyperlink" Target="https://www.garant.ru/products/ipo/prime/doc/71670166/" TargetMode="External"/><Relationship Id="rId38" Type="http://schemas.openxmlformats.org/officeDocument/2006/relationships/hyperlink" Target="https://www.garant.ru/products/ipo/prime/doc/71670166/" TargetMode="External"/><Relationship Id="rId46" Type="http://schemas.openxmlformats.org/officeDocument/2006/relationships/hyperlink" Target="https://www.garant.ru/products/ipo/prime/doc/7167016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71670166/" TargetMode="External"/><Relationship Id="rId20" Type="http://schemas.openxmlformats.org/officeDocument/2006/relationships/hyperlink" Target="https://www.garant.ru/products/ipo/prime/doc/71670166/" TargetMode="External"/><Relationship Id="rId29" Type="http://schemas.openxmlformats.org/officeDocument/2006/relationships/hyperlink" Target="https://www.garant.ru/products/ipo/prime/doc/71670166/" TargetMode="External"/><Relationship Id="rId41" Type="http://schemas.openxmlformats.org/officeDocument/2006/relationships/hyperlink" Target="https://www.garant.ru/products/ipo/prime/doc/7167016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670166/" TargetMode="External"/><Relationship Id="rId11" Type="http://schemas.openxmlformats.org/officeDocument/2006/relationships/hyperlink" Target="https://www.garant.ru/products/ipo/prime/doc/71670166/" TargetMode="External"/><Relationship Id="rId24" Type="http://schemas.openxmlformats.org/officeDocument/2006/relationships/hyperlink" Target="https://www.garant.ru/products/ipo/prime/doc/71670166/" TargetMode="External"/><Relationship Id="rId32" Type="http://schemas.openxmlformats.org/officeDocument/2006/relationships/hyperlink" Target="https://www.garant.ru/products/ipo/prime/doc/71670166/" TargetMode="External"/><Relationship Id="rId37" Type="http://schemas.openxmlformats.org/officeDocument/2006/relationships/hyperlink" Target="https://www.garant.ru/products/ipo/prime/doc/71670166/" TargetMode="External"/><Relationship Id="rId40" Type="http://schemas.openxmlformats.org/officeDocument/2006/relationships/hyperlink" Target="https://www.garant.ru/products/ipo/prime/doc/71670166/" TargetMode="External"/><Relationship Id="rId45" Type="http://schemas.openxmlformats.org/officeDocument/2006/relationships/hyperlink" Target="https://www.garant.ru/products/ipo/prime/doc/71670166/" TargetMode="External"/><Relationship Id="rId5" Type="http://schemas.openxmlformats.org/officeDocument/2006/relationships/hyperlink" Target="https://www.garant.ru/products/ipo/prime/doc/71670166/" TargetMode="External"/><Relationship Id="rId15" Type="http://schemas.openxmlformats.org/officeDocument/2006/relationships/hyperlink" Target="https://www.garant.ru/products/ipo/prime/doc/71670166/" TargetMode="External"/><Relationship Id="rId23" Type="http://schemas.openxmlformats.org/officeDocument/2006/relationships/hyperlink" Target="https://www.garant.ru/products/ipo/prime/doc/71670166/" TargetMode="External"/><Relationship Id="rId28" Type="http://schemas.openxmlformats.org/officeDocument/2006/relationships/hyperlink" Target="https://www.garant.ru/products/ipo/prime/doc/71670166/" TargetMode="External"/><Relationship Id="rId36" Type="http://schemas.openxmlformats.org/officeDocument/2006/relationships/hyperlink" Target="https://www.garant.ru/products/ipo/prime/doc/71670166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arant.ru/products/ipo/prime/doc/71670166/" TargetMode="External"/><Relationship Id="rId19" Type="http://schemas.openxmlformats.org/officeDocument/2006/relationships/hyperlink" Target="https://www.garant.ru/products/ipo/prime/doc/71670166/" TargetMode="External"/><Relationship Id="rId31" Type="http://schemas.openxmlformats.org/officeDocument/2006/relationships/hyperlink" Target="https://www.garant.ru/products/ipo/prime/doc/71670166/" TargetMode="External"/><Relationship Id="rId44" Type="http://schemas.openxmlformats.org/officeDocument/2006/relationships/hyperlink" Target="https://www.garant.ru/products/ipo/prime/doc/716701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670166/" TargetMode="External"/><Relationship Id="rId14" Type="http://schemas.openxmlformats.org/officeDocument/2006/relationships/hyperlink" Target="https://www.garant.ru/products/ipo/prime/doc/71670166/" TargetMode="External"/><Relationship Id="rId22" Type="http://schemas.openxmlformats.org/officeDocument/2006/relationships/hyperlink" Target="https://www.garant.ru/products/ipo/prime/doc/71670166/" TargetMode="External"/><Relationship Id="rId27" Type="http://schemas.openxmlformats.org/officeDocument/2006/relationships/hyperlink" Target="https://www.garant.ru/products/ipo/prime/doc/71670166/" TargetMode="External"/><Relationship Id="rId30" Type="http://schemas.openxmlformats.org/officeDocument/2006/relationships/hyperlink" Target="https://www.garant.ru/products/ipo/prime/doc/71670166/" TargetMode="External"/><Relationship Id="rId35" Type="http://schemas.openxmlformats.org/officeDocument/2006/relationships/hyperlink" Target="https://www.garant.ru/products/ipo/prime/doc/71670166/" TargetMode="External"/><Relationship Id="rId43" Type="http://schemas.openxmlformats.org/officeDocument/2006/relationships/hyperlink" Target="https://www.garant.ru/products/ipo/prime/doc/71670166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arant.ru/products/ipo/prime/doc/716701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6722</Words>
  <Characters>38318</Characters>
  <Application>Microsoft Office Word</Application>
  <DocSecurity>0</DocSecurity>
  <Lines>319</Lines>
  <Paragraphs>89</Paragraphs>
  <ScaleCrop>false</ScaleCrop>
  <Company/>
  <LinksUpToDate>false</LinksUpToDate>
  <CharactersWithSpaces>44951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2025-06-05T14:04:00Z</dcterms:created>
  <dcterms:modified xsi:type="dcterms:W3CDTF">2025-06-05T14:05:00Z</dcterms:modified>
</cp:coreProperties>
</file>