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3F" w:rsidRPr="00F1093F" w:rsidRDefault="00F1093F" w:rsidP="00F1093F">
      <w:pPr>
        <w:shd w:val="clear" w:color="auto" w:fill="FFFFFF"/>
        <w:spacing w:after="405" w:line="240" w:lineRule="auto"/>
        <w:jc w:val="center"/>
        <w:outlineLvl w:val="0"/>
        <w:rPr>
          <w:rFonts w:ascii="PT Serif" w:eastAsia="Times New Roman" w:hAnsi="PT Serif" w:cs="Times New Roman"/>
          <w:b/>
          <w:bCs/>
          <w:color w:val="012E67"/>
          <w:kern w:val="36"/>
          <w:sz w:val="45"/>
          <w:szCs w:val="45"/>
          <w:lang w:eastAsia="ru-RU"/>
        </w:rPr>
      </w:pPr>
      <w:bookmarkStart w:id="0" w:name="_GoBack"/>
      <w:r w:rsidRPr="00F1093F">
        <w:rPr>
          <w:rFonts w:ascii="PT Serif" w:eastAsia="Times New Roman" w:hAnsi="PT Serif" w:cs="Times New Roman"/>
          <w:b/>
          <w:bCs/>
          <w:color w:val="012E67"/>
          <w:kern w:val="36"/>
          <w:sz w:val="45"/>
          <w:szCs w:val="45"/>
          <w:lang w:eastAsia="ru-RU"/>
        </w:rPr>
        <w:t>Целевое обучение</w:t>
      </w:r>
    </w:p>
    <w:bookmarkEnd w:id="0"/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Целевое обучение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 - это форма обучения, при которой абитуриент после зачисления в университет заключает договор со своим будущим работодателем. По этому договору студент учится бесплатно, получает стипендию, а также может претендовать на дополнительные меры поддержки от будущего работодателя (например, возмещение расходов на проезд,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предоствление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дилья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, оплата питания и др.).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 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</w: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Преимущества программы: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получение специальности, востребованной работодателями региона;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понимание, где и кем будет работать студент после выпуска;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знание своей будущей заработной платы;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уверенность в трудоустройстве после выпуска.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32"/>
          <w:szCs w:val="32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i/>
          <w:iCs/>
          <w:color w:val="012E67"/>
          <w:sz w:val="32"/>
          <w:szCs w:val="32"/>
          <w:lang w:eastAsia="ru-RU"/>
        </w:rPr>
        <w:t>Как поступить на места в пределах целевой квоты?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Поступление на места в пределах целевой квоты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 – это особый формат приема в вуз, который позволяет поступить на обучение по отдельному конкурсу.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 xml:space="preserve">Шаг </w:t>
      </w:r>
      <w:proofErr w:type="gramStart"/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первый: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Найти</w:t>
      </w:r>
      <w:proofErr w:type="gram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подходящую вакансию на сайте платформы «Работа в России» или при подаче заявления в вуз через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Госуслуги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 xml:space="preserve">Шаг </w:t>
      </w:r>
      <w:proofErr w:type="gramStart"/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второй: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Подать</w:t>
      </w:r>
      <w:proofErr w:type="gram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заявление на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Госуслугах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или непосредственно в вуз (лично, по почте или через информационную систему вуза). </w:t>
      </w: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Важно: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 поступление в рамках конкурса на целевую квоту может быть выбрано только по 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u w:val="single"/>
          <w:lang w:eastAsia="ru-RU"/>
        </w:rPr>
        <w:t>одной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 образовательной программе.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lastRenderedPageBreak/>
        <w:t xml:space="preserve">Шаг </w:t>
      </w:r>
      <w:proofErr w:type="gramStart"/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третий: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Следить</w:t>
      </w:r>
      <w:proofErr w:type="gram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за результатами отбора через личный кабинет на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Госуслугах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или официальный сайт вуза.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 xml:space="preserve">Шаг </w:t>
      </w:r>
      <w:proofErr w:type="gramStart"/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четвертый: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Заключить</w:t>
      </w:r>
      <w:proofErr w:type="gram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целевой договор с заказчиком целевого обучения (после опубликования приказа о зачислении) до начала учебного года.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Сроки приема заявлений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 </w:t>
      </w:r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>(вуз устанавливает сроки приема документов в пределах указанных дат</w:t>
      </w:r>
      <w:proofErr w:type="gramStart"/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>):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</w:t>
      </w:r>
      <w:proofErr w:type="gram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по программам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бакалавриата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,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специалитета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, базового высшего образования – </w:t>
      </w: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с 20 июня по 25 июля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по программам магистратуры – </w:t>
      </w: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с 20 июня по 6 августа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по программам аспирантуры – </w:t>
      </w: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с 20 июня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 </w:t>
      </w:r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 xml:space="preserve">через </w:t>
      </w:r>
      <w:proofErr w:type="spellStart"/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>Госуслуги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 </w:t>
      </w: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до 29 августа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.</w:t>
      </w:r>
    </w:p>
    <w:p w:rsidR="00F1093F" w:rsidRPr="00F1093F" w:rsidRDefault="00F1093F" w:rsidP="00F10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F109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09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"https://usla.ru/upload/medialibrary/3d4/gmuzvdcdxe23mszat9xh6v9ae8pknqpt.pdf" </w:instrText>
      </w:r>
      <w:r w:rsidRPr="00F109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1093F" w:rsidRPr="00F1093F" w:rsidRDefault="00F1093F" w:rsidP="00F1093F">
      <w:pPr>
        <w:spacing w:before="300" w:after="300" w:line="240" w:lineRule="auto"/>
        <w:jc w:val="both"/>
        <w:outlineLvl w:val="1"/>
        <w:rPr>
          <w:rFonts w:ascii="PT Serif" w:eastAsia="Times New Roman" w:hAnsi="PT Serif" w:cs="Times New Roman"/>
          <w:b/>
          <w:bCs/>
          <w:color w:val="012E67"/>
          <w:sz w:val="36"/>
          <w:szCs w:val="36"/>
          <w:lang w:eastAsia="ru-RU"/>
        </w:rPr>
      </w:pPr>
      <w:r w:rsidRPr="00F1093F">
        <w:rPr>
          <w:rFonts w:ascii="PT Serif" w:eastAsia="Times New Roman" w:hAnsi="PT Serif" w:cs="Times New Roman"/>
          <w:b/>
          <w:bCs/>
          <w:color w:val="012E67"/>
          <w:sz w:val="36"/>
          <w:szCs w:val="36"/>
          <w:u w:val="single"/>
          <w:lang w:eastAsia="ru-RU"/>
        </w:rPr>
        <w:t>ПАМЯТКА</w:t>
      </w:r>
      <w:r w:rsidRPr="00F1093F">
        <w:rPr>
          <w:rFonts w:ascii="PT Serif" w:eastAsia="Times New Roman" w:hAnsi="PT Serif" w:cs="Times New Roman"/>
          <w:b/>
          <w:bCs/>
          <w:color w:val="012E67"/>
          <w:sz w:val="36"/>
          <w:szCs w:val="36"/>
          <w:u w:val="single"/>
          <w:lang w:eastAsia="ru-RU"/>
        </w:rPr>
        <w:br/>
        <w:t>абитуриенту, поступающему на целевое обучение по образовательным</w:t>
      </w:r>
      <w:r w:rsidRPr="00F1093F">
        <w:rPr>
          <w:rFonts w:ascii="PT Serif" w:eastAsia="Times New Roman" w:hAnsi="PT Serif" w:cs="Times New Roman"/>
          <w:b/>
          <w:bCs/>
          <w:color w:val="012E67"/>
          <w:sz w:val="36"/>
          <w:szCs w:val="36"/>
          <w:u w:val="single"/>
          <w:lang w:eastAsia="ru-RU"/>
        </w:rPr>
        <w:br/>
        <w:t>программам высшего образования на места в пределах целевой квоты</w:t>
      </w:r>
    </w:p>
    <w:p w:rsidR="00F1093F" w:rsidRPr="00F1093F" w:rsidRDefault="00F1093F" w:rsidP="00F109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9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fldChar w:fldCharType="begin"/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 xml:space="preserve"> 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HYPERLINK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 xml:space="preserve"> "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https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://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usla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.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ru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/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upload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/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medialibrary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/3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d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4/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gmuzvdcdxe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23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mszat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9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xh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6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v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9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ae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8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pknqpt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>.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val="en-US" w:eastAsia="ru-RU"/>
        </w:rPr>
        <w:instrText>pdf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instrText xml:space="preserve">" </w:instrTex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fldChar w:fldCharType="separate"/>
      </w:r>
      <w:r w:rsidRPr="00F1093F">
        <w:rPr>
          <w:rFonts w:ascii="PT Serif" w:eastAsia="Times New Roman" w:hAnsi="PT Serif" w:cs="Times New Roman"/>
          <w:color w:val="0000FF"/>
          <w:sz w:val="28"/>
          <w:szCs w:val="28"/>
          <w:u w:val="single"/>
          <w:lang w:eastAsia="ru-RU"/>
        </w:rPr>
        <w:t>1.</w:t>
      </w:r>
      <w:r w:rsidRPr="00F1093F">
        <w:rPr>
          <w:rFonts w:ascii="PT Serif" w:eastAsia="Times New Roman" w:hAnsi="PT Serif" w:cs="Times New Roman"/>
          <w:color w:val="0000FF"/>
          <w:sz w:val="28"/>
          <w:szCs w:val="28"/>
          <w:u w:val="single"/>
          <w:lang w:val="en-US" w:eastAsia="ru-RU"/>
        </w:rPr>
        <w:t> </w:t>
      </w:r>
      <w:r w:rsidRPr="00F1093F">
        <w:rPr>
          <w:rFonts w:ascii="PT Serif" w:eastAsia="Times New Roman" w:hAnsi="PT Serif" w:cs="Times New Roman"/>
          <w:b/>
          <w:bCs/>
          <w:color w:val="0000FF"/>
          <w:sz w:val="28"/>
          <w:szCs w:val="28"/>
          <w:u w:val="single"/>
          <w:lang w:eastAsia="ru-RU"/>
        </w:rPr>
        <w:t>Заказчики</w:t>
      </w:r>
      <w:r w:rsidRPr="00F1093F">
        <w:rPr>
          <w:rFonts w:ascii="PT Serif" w:eastAsia="Times New Roman" w:hAnsi="PT Serif" w:cs="Times New Roman"/>
          <w:color w:val="0000FF"/>
          <w:sz w:val="28"/>
          <w:szCs w:val="28"/>
          <w:u w:val="single"/>
          <w:lang w:eastAsia="ru-RU"/>
        </w:rPr>
        <w:t> из числа лиц, указанных в 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fldChar w:fldCharType="end"/>
      </w:r>
      <w:hyperlink r:id="rId4" w:tgtFrame="_blank" w:tooltip="&#10;    На целевое обучение по образовательным программам высшего образования&#10;    за счет бюджетных ассигнований федерального бюджета, бюджетов субъектов&#10;    Российской Федерации и местных бюджетов в пределах установленной квоты&#10;    принимаются граждане, которые прошли конкурс в соответствии с порядком&#10;    приема, предусмотренным частью 8 статьи 55 настоящего Федерального закона,&#10;    и дали согласие на заключение договора о целевом обучении с:&#10;    (в ред. Федерального закона от 14.04.2023 N 124-ФЗ)&#10;    1) федеральными государственными органами, органами государственной власти&#10;       субъектов Российской Федерации, органами местного самоуправления;&#10;    2) государственными и муниципальными учреждениями, унитарными предприятиями;&#10;    3) государственными корпорациями;&#10;    4) государственными компаниями;&#10;    5) организациями, включенными в сводный реестр организаций оборонно-промышленного&#10;       комплекса, формируемый в соответствии с частью 2 статьи 21 Федерального закона&#10;       от 31 декабря 2014 года N 488-ФЗ&#10;        " w:history="1">
        <w:r w:rsidRPr="00F1093F">
          <w:rPr>
            <w:rFonts w:ascii="PT Serif" w:eastAsia="Times New Roman" w:hAnsi="PT Serif" w:cs="Times New Roman"/>
            <w:color w:val="B9883B"/>
            <w:sz w:val="28"/>
            <w:szCs w:val="28"/>
            <w:u w:val="single"/>
            <w:lang w:eastAsia="ru-RU"/>
          </w:rPr>
          <w:t>части 1 статьи 71.1</w:t>
        </w:r>
      </w:hyperlink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 Федерального закона «Об образовании в Российской Федерации», размещают на цифровой платформе «Работа в России» (</w:t>
      </w:r>
      <w:hyperlink r:id="rId5" w:tgtFrame="_blank" w:tooltip="" w:history="1">
        <w:r w:rsidRPr="00F1093F">
          <w:rPr>
            <w:rFonts w:ascii="PT Serif" w:eastAsia="Times New Roman" w:hAnsi="PT Serif" w:cs="Times New Roman"/>
            <w:color w:val="B9883B"/>
            <w:sz w:val="28"/>
            <w:szCs w:val="28"/>
            <w:u w:val="single"/>
            <w:lang w:eastAsia="ru-RU"/>
          </w:rPr>
          <w:t>www.trudvsem.ru</w:t>
        </w:r>
      </w:hyperlink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) предложения, адресованные гражданам, поступающим на целевое обучение в пределах квоты (далее - предложения по квоте) (за исключением случаев, указанных в абзацах пятом и шестом пункта 10 настоящего </w:t>
      </w:r>
      <w:hyperlink r:id="rId6" w:tgtFrame="_blank" w:tooltip="&#10;    Обязанность заказчика размещать предложения на цифровой платформе «Работа в России» не распространяется на&#10;    целевое обучение в интересах безопасности государства, а также на случаи, если заказчиками являются органы,&#10;    указанные в части 1 статьи 81 Федерального закона «Об образовании в Российской Федерации», Управление делами&#10;    Президента Российской Федерации и подведомственные ему организации, а также на случаи, если заказчиками или&#10;    работодателями являются организации, включенные в сводный реестр организаций оборонно-промышленного комплекса,&#10;    формируемый в соответствии с частью 2 статьи 21 Федерального закона «О промышленной политике в Российской Федерации».&#10;    " w:history="1">
        <w:r w:rsidRPr="00F1093F">
          <w:rPr>
            <w:rFonts w:ascii="PT Serif" w:eastAsia="Times New Roman" w:hAnsi="PT Serif" w:cs="Times New Roman"/>
            <w:color w:val="B9883B"/>
            <w:sz w:val="28"/>
            <w:szCs w:val="28"/>
            <w:u w:val="single"/>
            <w:lang w:eastAsia="ru-RU"/>
          </w:rPr>
          <w:t>Положения</w:t>
        </w:r>
      </w:hyperlink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).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Количество договоров о целевом обучении, которые заказчик намерен заключить в соответствии с предложением должно быть указано в предложении.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lastRenderedPageBreak/>
        <w:t>2. </w:t>
      </w: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Заказчики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 устанавливают прямо предусмотренные нормами законодательства Российской Федерации требования, предъявляемые к гражданам, из числа следующих: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требования в отношении допуска гражданина к осуществлению трудовой деятельности;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требования об отсутствии медицинских противопоказаний;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требования, установленные нормативными правовыми актами, определяющими особенности заключения договора о целевом обучении, стороной которого является орган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3. </w:t>
      </w:r>
      <w:r w:rsidRPr="00F1093F">
        <w:rPr>
          <w:rFonts w:ascii="PT Serif" w:eastAsia="Times New Roman" w:hAnsi="PT Serif" w:cs="Times New Roman"/>
          <w:b/>
          <w:bCs/>
          <w:color w:val="012E67"/>
          <w:sz w:val="28"/>
          <w:szCs w:val="28"/>
          <w:lang w:eastAsia="ru-RU"/>
        </w:rPr>
        <w:t>Гражданин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, поступающий на целевое обучение в пределах квоты, до 25 июля подает в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УрГЮУ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имени В.Ф. Яковлева заявку на заключение договора о целевом обучении в соответствии с выбранным предложением, которая содержит следующие сведения: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сведения, подтверждающие соответствие гражданина требованиям, указанным выше;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согласие на заключение договора о целевом обучении, в соответствии с которым гражданин дает обязательство в случае приема его на целевое обучение в пределах квоты заключить договор о целевом обучении.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В случае если гражданин является несовершеннолетним, к заявке прилагается письменное согласие законного представителя гражданина на заключение договора о целевом обучении.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</w:r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 xml:space="preserve">В случае поступление на программы </w:t>
      </w:r>
      <w:proofErr w:type="spellStart"/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>бакалавриата</w:t>
      </w:r>
      <w:proofErr w:type="spellEnd"/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 xml:space="preserve"> и программы </w:t>
      </w:r>
      <w:proofErr w:type="spellStart"/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>специалитета</w:t>
      </w:r>
      <w:proofErr w:type="spellEnd"/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>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если гражданин подает заявление о приеме на обучение посредством Единого портала государственных и муниципальных услуг (функций), то при подаче заявления о пример он сможет ознакомиться с предложениями заказчиков и подать заявку на заключение договора о целевом обучении посредством Единого портала;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если гражданин подает заявление о приеме на обучение непосредственно в вуз (лично, по почте или через личный кабинет вуза), то он должен самостоятельно ознакомиться с предложениями заказчиков на цифровой платформе «Работа в России» (</w:t>
      </w:r>
      <w:hyperlink r:id="rId7" w:tgtFrame="_blank" w:tooltip="" w:history="1">
        <w:r w:rsidRPr="00F1093F">
          <w:rPr>
            <w:rFonts w:ascii="PT Serif" w:eastAsia="Times New Roman" w:hAnsi="PT Serif" w:cs="Times New Roman"/>
            <w:color w:val="B9883B"/>
            <w:sz w:val="28"/>
            <w:szCs w:val="28"/>
            <w:u w:val="single"/>
            <w:lang w:eastAsia="ru-RU"/>
          </w:rPr>
          <w:t>www.trudvsem.ru</w:t>
        </w:r>
      </w:hyperlink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) и подать заявку на заключение договора о целевом обучении 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lastRenderedPageBreak/>
        <w:t>в вуз до 25 июля.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</w:r>
      <w:r w:rsidRPr="00F1093F">
        <w:rPr>
          <w:rFonts w:ascii="PT Serif" w:eastAsia="Times New Roman" w:hAnsi="PT Serif" w:cs="Times New Roman"/>
          <w:i/>
          <w:iCs/>
          <w:color w:val="012E67"/>
          <w:sz w:val="28"/>
          <w:szCs w:val="28"/>
          <w:lang w:eastAsia="ru-RU"/>
        </w:rPr>
        <w:t>В случае поступление на программы магистратуры, аспирантуры: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- гражданин должен самостоятельно ознакомиться с предложениями заказчиков на цифровой платформе «Работа в России» (</w:t>
      </w:r>
      <w:hyperlink r:id="rId8" w:tgtFrame="_blank" w:tooltip="" w:history="1">
        <w:r w:rsidRPr="00F1093F">
          <w:rPr>
            <w:rFonts w:ascii="PT Serif" w:eastAsia="Times New Roman" w:hAnsi="PT Serif" w:cs="Times New Roman"/>
            <w:color w:val="B9883B"/>
            <w:sz w:val="28"/>
            <w:szCs w:val="28"/>
            <w:u w:val="single"/>
            <w:lang w:eastAsia="ru-RU"/>
          </w:rPr>
          <w:t>www.trudvsem.ru</w:t>
        </w:r>
      </w:hyperlink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) и подать заявку на заключение договора о целевом обучении в вуз в сроки, установленные для приема заявлений о приеме на обучение.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4. Гражданин может поступать на целевое обучение в пределах квоты: по программам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бакалавриата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, программам </w:t>
      </w:r>
      <w:proofErr w:type="spell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специалитета</w:t>
      </w:r>
      <w:proofErr w:type="spell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— в один вуз на одну образовательную программу в соответствии с одной </w:t>
      </w:r>
      <w:proofErr w:type="gramStart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заявкой;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по</w:t>
      </w:r>
      <w:proofErr w:type="gramEnd"/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 иным образовательным программам высшего образования — в один или несколько вузов на одну или несколько образовательных программ.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5. При приеме на целевое обучение в пределах квоты вуз формирует единый ранжированный список претендентов (в случае детализации целевой квоты посредством выделения квот в интересах конкретных заказчиков ранжированный список поступающих формируется на места каждой детализированной квоты).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В случае если число претендентов превышает количество мест, на которые должен осуществляться прием на целевое обучение в пределах квоты, образовательная организация проводит зачисление претендентов на конкурсной основе в соответствии с установленным количеством мест.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6. В случае если число претендентов в соответствии с конкретным предложением по квоте превышает требуемое количество договоров о целевом обучении, указанное в предложении, вуз зачисляет претендентов в количестве, не превышающем требуемого количества договоров о целевом обучении. Заказчик не сможет выбрать, с кем конкретно заключить договор. Зачисление будет производиться в соответствии с ранжированным по сумме конкурсных баллов списком.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 xml:space="preserve">7. Сведения о зачислении претендентов, подавших заявления о приеме на целевое обучение в образовательные организации, передаются на цифровую платформу «Работа в России» из ФИС ГИА и приема, 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lastRenderedPageBreak/>
        <w:t>либо направляются вузом заказчикам в течение 3 рабочих дней после издания приказа о зачислении, но не позднее чем за один день до начала учебного года.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8. В период со дня, следующего за днем издания приказа о зачислении гражданина на целевое обучение в пределах квоты, до дня начала учебного года включительно с указанным гражданином заключается договор о целевом обучении.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обучения, указанными в предложении (в том числе в случае зачисления не на целевое обучение в пределах квоты), договор о целевом обучении с гражданином не заключается.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По вопросам целевого обучения необходимо обращаться:</w:t>
      </w:r>
    </w:p>
    <w:p w:rsidR="00F1093F" w:rsidRPr="00F1093F" w:rsidRDefault="00F1093F" w:rsidP="00F1093F">
      <w:pPr>
        <w:shd w:val="clear" w:color="auto" w:fill="FFFFFF"/>
        <w:spacing w:before="240" w:after="240" w:line="240" w:lineRule="auto"/>
        <w:jc w:val="both"/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</w:pP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t>+7(343)374-40-33 – ответственный секретарь приемной комиссии Устюжанина Евгения Валерьевна</w:t>
      </w:r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Сайт ЕКЦ «Приём в вуз» - </w:t>
      </w:r>
      <w:hyperlink r:id="rId9" w:tgtFrame="_blank" w:tooltip="" w:history="1">
        <w:r w:rsidRPr="00F1093F">
          <w:rPr>
            <w:rFonts w:ascii="PT Serif" w:eastAsia="Times New Roman" w:hAnsi="PT Serif" w:cs="Times New Roman"/>
            <w:color w:val="B9883B"/>
            <w:sz w:val="28"/>
            <w:szCs w:val="28"/>
            <w:u w:val="single"/>
            <w:lang w:eastAsia="ru-RU"/>
          </w:rPr>
          <w:t>https://priemvuz.ru/</w:t>
        </w:r>
      </w:hyperlink>
      <w:r w:rsidRPr="00F1093F">
        <w:rPr>
          <w:rFonts w:ascii="PT Serif" w:eastAsia="Times New Roman" w:hAnsi="PT Serif" w:cs="Times New Roman"/>
          <w:color w:val="012E67"/>
          <w:sz w:val="28"/>
          <w:szCs w:val="28"/>
          <w:lang w:eastAsia="ru-RU"/>
        </w:rPr>
        <w:br/>
        <w:t>Телефоны ЕКЦ «Приём в вуз» - 8(800) 301-44-55 (для звонков по России), 8(495) 122-22-68 (для звонков из-за рубежа).</w:t>
      </w:r>
    </w:p>
    <w:p w:rsidR="00AE4846" w:rsidRDefault="00AE4846" w:rsidP="00F1093F">
      <w:pPr>
        <w:jc w:val="both"/>
      </w:pPr>
    </w:p>
    <w:sectPr w:rsidR="00AE4846" w:rsidSect="00F109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0F"/>
    <w:rsid w:val="00AE4846"/>
    <w:rsid w:val="00D53E0F"/>
    <w:rsid w:val="00F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3848-08E5-4974-8618-60162940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udvse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la.ru/priem/campaign2025/tselevoe-obuchenie/index.php?sphrase_id=23196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udvsem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1363&amp;dst=956" TargetMode="External"/><Relationship Id="rId9" Type="http://schemas.openxmlformats.org/officeDocument/2006/relationships/hyperlink" Target="https://priemvu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kadry_8</dc:creator>
  <cp:keywords/>
  <dc:description/>
  <cp:lastModifiedBy>kadry_8</cp:lastModifiedBy>
  <cp:revision>2</cp:revision>
  <dcterms:created xsi:type="dcterms:W3CDTF">2026-07-02T10:18:00Z</dcterms:created>
  <dcterms:modified xsi:type="dcterms:W3CDTF">2026-07-02T10:18:00Z</dcterms:modified>
</cp:coreProperties>
</file>