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Приказ Минтруда России № 169н от 2 апреля 2014 г. </w:t>
      </w:r>
    </w:p>
    <w:p>
      <w:pPr>
        <w:pStyle w:val="Heading2"/>
        <w:rPr/>
      </w:pPr>
      <w:r>
        <w:rPr/>
        <w:t>«О порядке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Федерации»</w:t>
        <w:br/>
        <w:t>(зарегистрирован в Минюсте России 14.08.2014 N 33585)</w:t>
      </w:r>
    </w:p>
    <w:p>
      <w:pPr>
        <w:pStyle w:val="TextBody"/>
        <w:rPr/>
      </w:pPr>
      <w:r>
        <w:rPr/>
        <w:t>В соответствии с Федеральным законом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5449), постановлениями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1084; 2012, N 52, ст. 7507; 2013, N 13, ст. 1575; N 48, ст. 6278) и от 19 июня 2012 г. N 610 "Об утверждении Положения о Министерстве труда и социальной защиты Российской Федерации" (Собрание законодательства Российской Федерации, 2012, N 26, ст. 3528; 2013, N 22, ст. 2809; N 36, ст. 4578; N 37, ст. 4703; N 45, ст. 5822; N 46, ст. 5952) приказываю: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прилагаемый Порядок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Департаменту правовой и международной деятельности (А.А. Черкасов) проводить антикоррупционную экспертизу проектов нормативных правовых актов Министерства труда и социальной защиты Российской Федерации при проведении их правовой экспертизы.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Директорам департаментов Министерства труда и социальной защиты Российской Федерации обеспечивать проведение антикоррупционной экспертизы принятых Министерством труда и социальной защиты Российской Федерации нормативных правовых актов при проведении мониторинга их применения.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Контроль за исполнением настоящего приказа возложить на первого заместителя Министра труда и социальной защиты Российской Федерации С.Ф. Вельмяйкина. </w:t>
      </w:r>
    </w:p>
    <w:p>
      <w:pPr>
        <w:pStyle w:val="Heading5"/>
        <w:spacing w:before="120" w:after="60"/>
        <w:rPr/>
      </w:pPr>
      <w:r>
        <w:rPr/>
        <w:t>Министр</w:t>
        <w:br/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