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32" w:rsidRDefault="00057132">
      <w:pPr>
        <w:pStyle w:val="ConsPlusNormal"/>
        <w:jc w:val="right"/>
        <w:outlineLvl w:val="0"/>
      </w:pPr>
      <w:proofErr w:type="gramStart"/>
      <w:r>
        <w:t>Утверждены</w:t>
      </w:r>
      <w:proofErr w:type="gramEnd"/>
    </w:p>
    <w:p w:rsidR="00057132" w:rsidRDefault="00057132">
      <w:pPr>
        <w:pStyle w:val="ConsPlusNormal"/>
        <w:jc w:val="right"/>
      </w:pPr>
      <w:r>
        <w:t>Постановлением Совета судей</w:t>
      </w:r>
    </w:p>
    <w:p w:rsidR="00057132" w:rsidRDefault="00057132">
      <w:pPr>
        <w:pStyle w:val="ConsPlusNormal"/>
        <w:jc w:val="right"/>
      </w:pPr>
      <w:r>
        <w:t>Российской Федерации</w:t>
      </w:r>
    </w:p>
    <w:p w:rsidR="00057132" w:rsidRDefault="00057132">
      <w:pPr>
        <w:pStyle w:val="ConsPlusNormal"/>
        <w:jc w:val="right"/>
      </w:pPr>
      <w:r>
        <w:t>от 7 декабря 2023 г. N 32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Title"/>
        <w:jc w:val="center"/>
      </w:pPr>
      <w:bookmarkStart w:id="0" w:name="P42"/>
      <w:bookmarkEnd w:id="0"/>
      <w:r>
        <w:t>ТИПОВЫЕ ПРАВИЛА ПРЕБЫВАНИЯ ПОСЕТИТЕЛЕЙ В СУДАХ</w:t>
      </w:r>
    </w:p>
    <w:p w:rsidR="00057132" w:rsidRDefault="00057132">
      <w:pPr>
        <w:pStyle w:val="ConsPlusNormal"/>
        <w:jc w:val="center"/>
      </w:pPr>
    </w:p>
    <w:p w:rsidR="00057132" w:rsidRDefault="00057132">
      <w:pPr>
        <w:pStyle w:val="ConsPlusTitle"/>
        <w:jc w:val="center"/>
        <w:outlineLvl w:val="1"/>
      </w:pPr>
      <w:r>
        <w:t>1. Общие положения</w:t>
      </w:r>
    </w:p>
    <w:p w:rsidR="00057132" w:rsidRDefault="00057132">
      <w:pPr>
        <w:pStyle w:val="ConsPlusNormal"/>
        <w:jc w:val="center"/>
      </w:pPr>
    </w:p>
    <w:p w:rsidR="00057132" w:rsidRDefault="00057132">
      <w:pPr>
        <w:pStyle w:val="ConsPlusNormal"/>
        <w:ind w:firstLine="540"/>
        <w:jc w:val="both"/>
      </w:pPr>
      <w:r>
        <w:t xml:space="preserve">1.1. </w:t>
      </w:r>
      <w:proofErr w:type="gramStart"/>
      <w:r>
        <w:t>Типовые правила пребывания временно находящихся в здании (помещении) судов (далее - Типовые правила) физических лиц, для которых суд не является местом работы (далее - посетители)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юрисдикции, федеральных арбитражных судов</w:t>
      </w:r>
      <w:proofErr w:type="gramEnd"/>
      <w:r>
        <w:t>, мировых судей (далее - суды).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Типовые правила пребывания посетителей в судах направлены </w:t>
      </w:r>
      <w:proofErr w:type="gramStart"/>
      <w:r>
        <w:t>на</w:t>
      </w:r>
      <w:proofErr w:type="gramEnd"/>
      <w:r>
        <w:t>: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реализацию конституционного права граждан на судебную защиту;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обеспечение установленного порядка деятельности судов;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поддержание общественного порядка в здании (помещении) суда и осуществление его охраны;</w:t>
      </w:r>
    </w:p>
    <w:p w:rsidR="00057132" w:rsidRDefault="00057132">
      <w:pPr>
        <w:pStyle w:val="ConsPlusNormal"/>
        <w:spacing w:before="200"/>
        <w:ind w:firstLine="540"/>
        <w:jc w:val="both"/>
      </w:pPr>
      <w:proofErr w:type="gramStart"/>
      <w: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  <w:proofErr w:type="gramEnd"/>
    </w:p>
    <w:p w:rsidR="00057132" w:rsidRDefault="00057132">
      <w:pPr>
        <w:pStyle w:val="ConsPlusNormal"/>
        <w:spacing w:before="200"/>
        <w:ind w:firstLine="540"/>
        <w:jc w:val="both"/>
      </w:pPr>
      <w: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1.2. Проход в здание (помещение) суда осуществляется по следующим документам: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паспорт гражданина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временное удостоверение личности гражданина Российской Федерации (форма N 2);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дипломатический паспорт гражданина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служебный паспорт гражданина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удостоверение личности военнослужащего Российской Федерации или военный билет;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удостоверение личности моряка;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свидетельство о рождении (для граждан Российской Федерации до 14 лет);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водительское удостоверение;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служебное удостоверение;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удостоверение адвоката;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удостоверение беженца, свидетельство о рассмотрении ходатайства о признании беженцем на </w:t>
      </w:r>
      <w:r>
        <w:lastRenderedPageBreak/>
        <w:t>территории Российской Федерации по существу;</w:t>
      </w:r>
    </w:p>
    <w:p w:rsidR="00057132" w:rsidRDefault="00057132">
      <w:pPr>
        <w:pStyle w:val="ConsPlusNormal"/>
        <w:spacing w:before="200"/>
        <w:ind w:firstLine="540"/>
        <w:jc w:val="both"/>
      </w:pPr>
      <w:proofErr w:type="gramStart"/>
      <w: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  <w:proofErr w:type="gramEnd"/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>
        <w:t>помимо</w:t>
      </w:r>
      <w:proofErr w:type="gramEnd"/>
      <w:r>
        <w:t xml:space="preserve"> указанных в настоящем пункте.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Title"/>
        <w:jc w:val="center"/>
        <w:outlineLvl w:val="1"/>
      </w:pPr>
      <w:r>
        <w:t>2. Организация допуска посетителей в здание (помещение) суда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</w:t>
      </w:r>
      <w:hyperlink r:id="rId5">
        <w:r>
          <w:rPr>
            <w:color w:val="0000FF"/>
          </w:rPr>
          <w:t>Правил</w:t>
        </w:r>
      </w:hyperlink>
      <w:r>
        <w:t xml:space="preserve"> внутреннего распорядка судов (Федеральный конституционный </w:t>
      </w:r>
      <w:hyperlink r:id="rId6">
        <w:r>
          <w:rPr>
            <w:color w:val="0000FF"/>
          </w:rPr>
          <w:t>закон</w:t>
        </w:r>
      </w:hyperlink>
      <w:r>
        <w:t xml:space="preserve"> от 23.06.1999 N 1-ФКЗ "О военных судах Российской Федерации", Федеральный конституционный </w:t>
      </w:r>
      <w:hyperlink r:id="rId7">
        <w:r>
          <w:rPr>
            <w:color w:val="0000FF"/>
          </w:rPr>
          <w:t>закон</w:t>
        </w:r>
      </w:hyperlink>
      <w:r>
        <w:t xml:space="preserve"> от 07.02.2011 N 1-ФКЗ "О судах общей юрисдикции в Российской Федерации", </w:t>
      </w:r>
      <w:hyperlink r:id="rId8">
        <w:r>
          <w:rPr>
            <w:color w:val="0000FF"/>
          </w:rPr>
          <w:t>Закон</w:t>
        </w:r>
      </w:hyperlink>
      <w:r>
        <w:t xml:space="preserve"> Российской Федерации от 26.06.1992 N</w:t>
      </w:r>
      <w:proofErr w:type="gramEnd"/>
      <w:r>
        <w:t xml:space="preserve"> </w:t>
      </w:r>
      <w:proofErr w:type="gramStart"/>
      <w:r>
        <w:t>3132-1 "О статусе судей в Российской Федерации"),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proofErr w:type="gramEnd"/>
      <w:r>
        <w:t xml:space="preserve">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>
        <w:t>досмотра</w:t>
      </w:r>
      <w:proofErr w:type="gramEnd"/>
      <w:r>
        <w:t xml:space="preserve"> и осуществляется учет (регистрация) входящих в здание (помещение) суда посетителей, за исключением лиц, указанных в </w:t>
      </w:r>
      <w:hyperlink w:anchor="P76">
        <w:r>
          <w:rPr>
            <w:color w:val="0000FF"/>
          </w:rPr>
          <w:t>пунктах 2.3</w:t>
        </w:r>
      </w:hyperlink>
      <w:r>
        <w:t xml:space="preserve"> и </w:t>
      </w:r>
      <w:hyperlink w:anchor="P77">
        <w:r>
          <w:rPr>
            <w:color w:val="0000FF"/>
          </w:rPr>
          <w:t>2.4</w:t>
        </w:r>
      </w:hyperlink>
      <w:r>
        <w:t xml:space="preserve"> Типовых правил.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057132" w:rsidRDefault="00057132">
      <w:pPr>
        <w:pStyle w:val="ConsPlusNormal"/>
        <w:spacing w:before="200"/>
        <w:ind w:firstLine="540"/>
        <w:jc w:val="both"/>
      </w:pPr>
      <w:bookmarkStart w:id="1" w:name="P76"/>
      <w:bookmarkEnd w:id="1"/>
      <w:r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27.05.1996 N 57-ФЗ "О государственной охране".</w:t>
      </w:r>
    </w:p>
    <w:p w:rsidR="00057132" w:rsidRDefault="00057132">
      <w:pPr>
        <w:pStyle w:val="ConsPlusNormal"/>
        <w:spacing w:before="200"/>
        <w:ind w:firstLine="540"/>
        <w:jc w:val="both"/>
      </w:pPr>
      <w:bookmarkStart w:id="2" w:name="P77"/>
      <w:bookmarkEnd w:id="2"/>
      <w:r>
        <w:t>2.4. При предъявлении служебного удостоверения в здание (помещение) суда проходят: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судьи, в том числе пребывающие в отставке;</w:t>
      </w:r>
    </w:p>
    <w:p w:rsidR="00057132" w:rsidRDefault="00057132">
      <w:pPr>
        <w:pStyle w:val="ConsPlusNormal"/>
        <w:spacing w:before="200"/>
        <w:ind w:firstLine="540"/>
        <w:jc w:val="both"/>
      </w:pPr>
      <w:proofErr w:type="gramStart"/>
      <w:r>
        <w:t>сенаторы Российской Федерации и депутаты Государственной Думы Федерального Собрания Российской Федерации;</w:t>
      </w:r>
      <w:proofErr w:type="gramEnd"/>
    </w:p>
    <w:p w:rsidR="00057132" w:rsidRDefault="00057132">
      <w:pPr>
        <w:pStyle w:val="ConsPlusNormal"/>
        <w:spacing w:before="200"/>
        <w:ind w:firstLine="540"/>
        <w:jc w:val="both"/>
      </w:pPr>
      <w: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proofErr w:type="gramStart"/>
      <w: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  <w:proofErr w:type="gramEnd"/>
    </w:p>
    <w:p w:rsidR="00057132" w:rsidRDefault="00057132">
      <w:pPr>
        <w:pStyle w:val="ConsPlusNormal"/>
        <w:spacing w:before="200"/>
        <w:ind w:firstLine="540"/>
        <w:jc w:val="both"/>
      </w:pPr>
      <w:r>
        <w:t>государственные гражданские служащие Верховного Суда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работники системы Судебного департамента при Верховном Суде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государственные гражданские служащие федеральных судов и мировых судей субъектов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высшие должностные лица субъектов Российской Федерации, руководители исполнительных </w:t>
      </w:r>
      <w:proofErr w:type="gramStart"/>
      <w:r>
        <w:t>органов государственной власти субъектов Российской Федерации</w:t>
      </w:r>
      <w:proofErr w:type="gramEnd"/>
      <w:r>
        <w:t xml:space="preserve"> и их заместители;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депутаты законодательных (представительных) органов государственной власти субъектов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proofErr w:type="gramStart"/>
      <w:r>
        <w:t xml:space="preserve"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</w:t>
      </w:r>
      <w:r>
        <w:lastRenderedPageBreak/>
        <w:t>местного самоуправления, выборные должностные лица местного самоуправления;</w:t>
      </w:r>
      <w:proofErr w:type="gramEnd"/>
    </w:p>
    <w:p w:rsidR="00057132" w:rsidRDefault="00057132">
      <w:pPr>
        <w:pStyle w:val="ConsPlusNormal"/>
        <w:spacing w:before="200"/>
        <w:ind w:firstLine="540"/>
        <w:jc w:val="both"/>
      </w:pPr>
      <w:proofErr w:type="gramStart"/>
      <w: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  <w:proofErr w:type="gramEnd"/>
    </w:p>
    <w:p w:rsidR="00057132" w:rsidRDefault="00057132">
      <w:pPr>
        <w:pStyle w:val="ConsPlusNormal"/>
        <w:spacing w:before="200"/>
        <w:ind w:firstLine="540"/>
        <w:jc w:val="both"/>
      </w:pPr>
      <w:r>
        <w:t>При предъявлении удостоверения проходят в здание (помещение) суда адвокаты.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2.5. По прибытии в здание (помещение)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2.6. Доступ в здание (помещение) суда предоставляется: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арбитражным заседателям на основании соответствующего определения суда;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работникам строительных (подрядных) или </w:t>
      </w:r>
      <w:proofErr w:type="spellStart"/>
      <w:r>
        <w:t>клининговых</w:t>
      </w:r>
      <w:proofErr w:type="spellEnd"/>
      <w: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2.11. При срабатывании </w:t>
      </w:r>
      <w:proofErr w:type="spellStart"/>
      <w:r>
        <w:t>металлодетектора</w:t>
      </w:r>
      <w:proofErr w:type="spellEnd"/>
      <w: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</w:t>
      </w:r>
      <w:hyperlink r:id="rId10">
        <w:r>
          <w:rPr>
            <w:color w:val="0000FF"/>
          </w:rPr>
          <w:t>ст. 11</w:t>
        </w:r>
      </w:hyperlink>
      <w:r>
        <w:t xml:space="preserve"> Федерального закона от 21.07.1997 N 118-ФЗ "Об органах принудительного исполнения Российской Федерации").</w:t>
      </w:r>
      <w:proofErr w:type="gramEnd"/>
    </w:p>
    <w:p w:rsidR="00057132" w:rsidRDefault="00057132">
      <w:pPr>
        <w:pStyle w:val="ConsPlusNormal"/>
        <w:spacing w:before="200"/>
        <w:ind w:firstLine="540"/>
        <w:jc w:val="both"/>
      </w:pPr>
      <w:r>
        <w:t>2.12. Основаниями для отказа в допуске в здание (помещение) суда являются: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отсутствие или отказ предъявить документы, удостоверяющие личность;</w:t>
      </w:r>
    </w:p>
    <w:p w:rsidR="00057132" w:rsidRDefault="00057132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отказ от прохождения проверки с использованием стационарного или переносного </w:t>
      </w:r>
      <w:proofErr w:type="spellStart"/>
      <w:r>
        <w:t>металлодетектора</w:t>
      </w:r>
      <w:proofErr w:type="spellEnd"/>
      <w: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  <w:proofErr w:type="gramEnd"/>
    </w:p>
    <w:p w:rsidR="00057132" w:rsidRDefault="00057132">
      <w:pPr>
        <w:pStyle w:val="ConsPlusNormal"/>
        <w:spacing w:before="200"/>
        <w:ind w:firstLine="540"/>
        <w:jc w:val="both"/>
      </w:pPr>
      <w:proofErr w:type="gramStart"/>
      <w: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  <w:proofErr w:type="gramEnd"/>
    </w:p>
    <w:p w:rsidR="00057132" w:rsidRDefault="00057132">
      <w:pPr>
        <w:pStyle w:val="ConsPlusNormal"/>
        <w:spacing w:before="200"/>
        <w:ind w:firstLine="540"/>
        <w:jc w:val="both"/>
      </w:pPr>
      <w:r>
        <w:t>прибытие в суд лиц в состоянии алкогольного, наркотического или иного токсического опьянения;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Title"/>
        <w:jc w:val="center"/>
        <w:outlineLvl w:val="1"/>
      </w:pPr>
      <w:r>
        <w:t>3. Меры безопасности в суде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  <w:r>
        <w:t xml:space="preserve">3.1. </w:t>
      </w:r>
      <w:proofErr w:type="gramStart"/>
      <w: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  <w:proofErr w:type="gramEnd"/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проносить в здание и служебные помещения суда предметы, перечисленные в </w:t>
      </w:r>
      <w:hyperlink w:anchor="P133">
        <w:r>
          <w:rPr>
            <w:color w:val="0000FF"/>
          </w:rPr>
          <w:t>приложении</w:t>
        </w:r>
      </w:hyperlink>
      <w:r>
        <w:t xml:space="preserve">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находиться в служебных помещениях суда без разрешения судей, работников аппарата суда и судебных приставов;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"Интернет"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курить;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Title"/>
        <w:jc w:val="center"/>
        <w:outlineLvl w:val="1"/>
      </w:pPr>
      <w:r>
        <w:t>4. Ответственность посетителей суда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  <w: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rPr>
          <w:rFonts w:ascii="Times New Roman" w:eastAsiaTheme="minorEastAsia" w:hAnsi="Times New Roman" w:cs="Times New Roman"/>
          <w:sz w:val="20"/>
          <w:lang w:eastAsia="ru-RU"/>
        </w:rPr>
      </w:pPr>
      <w:r>
        <w:br w:type="page"/>
      </w:r>
    </w:p>
    <w:p w:rsidR="00057132" w:rsidRDefault="00057132">
      <w:pPr>
        <w:pStyle w:val="ConsPlusNormal"/>
        <w:ind w:firstLine="540"/>
        <w:jc w:val="both"/>
      </w:pPr>
      <w:bookmarkStart w:id="3" w:name="_GoBack"/>
      <w:bookmarkEnd w:id="3"/>
    </w:p>
    <w:p w:rsidR="00057132" w:rsidRDefault="00057132">
      <w:pPr>
        <w:pStyle w:val="ConsPlusNormal"/>
        <w:jc w:val="right"/>
        <w:outlineLvl w:val="1"/>
      </w:pPr>
      <w:r>
        <w:t>Приложение</w:t>
      </w:r>
    </w:p>
    <w:p w:rsidR="00057132" w:rsidRDefault="00057132">
      <w:pPr>
        <w:pStyle w:val="ConsPlusNormal"/>
        <w:jc w:val="center"/>
      </w:pPr>
    </w:p>
    <w:p w:rsidR="00057132" w:rsidRDefault="00057132">
      <w:pPr>
        <w:pStyle w:val="ConsPlusTitle"/>
        <w:jc w:val="center"/>
      </w:pPr>
      <w:bookmarkStart w:id="4" w:name="P133"/>
      <w:bookmarkEnd w:id="4"/>
      <w:r>
        <w:t>ПРИМЕРНЫЙ ПЕРЕЧЕНЬ</w:t>
      </w:r>
    </w:p>
    <w:p w:rsidR="00057132" w:rsidRDefault="00057132">
      <w:pPr>
        <w:pStyle w:val="ConsPlusTitle"/>
        <w:jc w:val="center"/>
      </w:pPr>
      <w:r>
        <w:t>ПРЕДМЕТОВ, ЗАПРЕЩЕННЫХ К ВНОСУ В ЗДАНИЕ (ПОМЕЩЕНИЕ) СУДА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  <w:r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hyperlink w:anchor="P76">
        <w:r>
          <w:rPr>
            <w:color w:val="0000FF"/>
          </w:rPr>
          <w:t>пункте 2.3</w:t>
        </w:r>
      </w:hyperlink>
      <w:r>
        <w:t xml:space="preserve"> Типовых правил) и боеприпасы.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 Взрывчатые вещества, взрывные устройства.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3. Наркотические средства, психотропные вещества и их аналоги.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4. Токсические (ядовитые), радиоактивные вещества.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5. Легковоспламеняющиеся вещества (жидкости).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6. Бытовые газовые баллоны.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7. Алкогольная и спиртосодержащая продукция.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8. Велосипеды и иные транспортные средства, за исключением специальных сре</w:t>
      </w:r>
      <w:proofErr w:type="gramStart"/>
      <w:r>
        <w:t>дств дл</w:t>
      </w:r>
      <w:proofErr w:type="gramEnd"/>
      <w: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9. Предметы, материалы агитационного характера (плакаты, транспаранты, флаги, листовки).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10. Иные предметы, вещества и средства, представляющие угрозу для безопасности окружающих.</w:t>
      </w:r>
    </w:p>
    <w:p w:rsidR="00057132" w:rsidRDefault="00057132">
      <w:pPr>
        <w:pStyle w:val="ConsPlusNormal"/>
        <w:jc w:val="both"/>
      </w:pPr>
    </w:p>
    <w:p w:rsidR="00057132" w:rsidRDefault="00057132">
      <w:pPr>
        <w:pStyle w:val="ConsPlusNormal"/>
        <w:jc w:val="both"/>
      </w:pPr>
    </w:p>
    <w:p w:rsidR="00057132" w:rsidRDefault="000571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04D4" w:rsidRDefault="00CE04D4"/>
    <w:sectPr w:rsidR="00CE04D4" w:rsidSect="00A9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32"/>
    <w:rsid w:val="00057132"/>
    <w:rsid w:val="00C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1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Title">
    <w:name w:val="ConsPlusTitle"/>
    <w:rsid w:val="000571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0571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1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Title">
    <w:name w:val="ConsPlusTitle"/>
    <w:rsid w:val="000571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0571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32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18627&amp;dst=100011" TargetMode="External"/><Relationship Id="rId10" Type="http://schemas.openxmlformats.org/officeDocument/2006/relationships/hyperlink" Target="https://login.consultant.ru/link/?req=doc&amp;base=LAW&amp;n=482655&amp;dst=100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2186</Words>
  <Characters>12466</Characters>
  <Application>Microsoft Office Word</Application>
  <DocSecurity>0</DocSecurity>
  <Lines>103</Lines>
  <Paragraphs>29</Paragraphs>
  <ScaleCrop>false</ScaleCrop>
  <Company/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Шамсиахметова Кристина Дмитриевна</dc:creator>
  <cp:lastModifiedBy>Шамсиахметова Кристина Дмитриевна</cp:lastModifiedBy>
  <cp:revision>1</cp:revision>
  <dcterms:created xsi:type="dcterms:W3CDTF">2024-11-12T07:05:00Z</dcterms:created>
  <dcterms:modified xsi:type="dcterms:W3CDTF">2024-11-12T07:07:00Z</dcterms:modified>
</cp:coreProperties>
</file>