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80" w:rsidRDefault="00163F80" w:rsidP="00FC282D">
      <w:pPr>
        <w:jc w:val="center"/>
        <w:rPr>
          <w:sz w:val="28"/>
          <w:szCs w:val="28"/>
        </w:rPr>
      </w:pPr>
    </w:p>
    <w:p w:rsidR="00163F80" w:rsidRDefault="00163F80" w:rsidP="00FC282D">
      <w:pPr>
        <w:jc w:val="center"/>
        <w:rPr>
          <w:sz w:val="28"/>
          <w:szCs w:val="28"/>
        </w:rPr>
      </w:pPr>
    </w:p>
    <w:p w:rsidR="00163F80" w:rsidRDefault="00163F80" w:rsidP="00FC282D">
      <w:pPr>
        <w:jc w:val="center"/>
        <w:rPr>
          <w:sz w:val="28"/>
          <w:szCs w:val="28"/>
        </w:rPr>
      </w:pPr>
    </w:p>
    <w:p w:rsidR="00163F80" w:rsidRDefault="00163F80" w:rsidP="00FC282D">
      <w:pPr>
        <w:jc w:val="center"/>
        <w:rPr>
          <w:sz w:val="28"/>
          <w:szCs w:val="28"/>
        </w:rPr>
      </w:pPr>
    </w:p>
    <w:p w:rsidR="00163F80" w:rsidRDefault="00163F80" w:rsidP="00FC282D">
      <w:pPr>
        <w:jc w:val="center"/>
        <w:rPr>
          <w:sz w:val="28"/>
          <w:szCs w:val="28"/>
        </w:rPr>
      </w:pPr>
    </w:p>
    <w:p w:rsidR="00163F80" w:rsidRDefault="00163F80" w:rsidP="00FC282D">
      <w:pPr>
        <w:jc w:val="center"/>
        <w:rPr>
          <w:sz w:val="28"/>
          <w:szCs w:val="28"/>
        </w:rPr>
      </w:pPr>
    </w:p>
    <w:p w:rsidR="00163F80" w:rsidRDefault="00163F80" w:rsidP="00FC282D">
      <w:pPr>
        <w:jc w:val="center"/>
        <w:rPr>
          <w:sz w:val="28"/>
          <w:szCs w:val="28"/>
        </w:rPr>
      </w:pPr>
    </w:p>
    <w:p w:rsidR="00163F80" w:rsidRDefault="00163F80" w:rsidP="00FC282D">
      <w:pPr>
        <w:jc w:val="center"/>
        <w:rPr>
          <w:sz w:val="28"/>
          <w:szCs w:val="28"/>
        </w:rPr>
      </w:pPr>
    </w:p>
    <w:p w:rsidR="00163F80" w:rsidRDefault="00163F80" w:rsidP="00FC282D">
      <w:pPr>
        <w:jc w:val="center"/>
        <w:rPr>
          <w:sz w:val="28"/>
          <w:szCs w:val="28"/>
        </w:rPr>
      </w:pPr>
    </w:p>
    <w:p w:rsidR="00163F80" w:rsidRDefault="00163F80" w:rsidP="00FC282D">
      <w:pPr>
        <w:jc w:val="center"/>
        <w:rPr>
          <w:sz w:val="28"/>
          <w:szCs w:val="28"/>
        </w:rPr>
      </w:pPr>
    </w:p>
    <w:p w:rsidR="00163F80" w:rsidRPr="00BD2E6C" w:rsidRDefault="00163F80" w:rsidP="00FC282D">
      <w:pPr>
        <w:jc w:val="center"/>
        <w:rPr>
          <w:sz w:val="28"/>
          <w:szCs w:val="28"/>
        </w:rPr>
      </w:pPr>
      <w:r w:rsidRPr="00BD2E6C">
        <w:rPr>
          <w:sz w:val="28"/>
          <w:szCs w:val="28"/>
        </w:rPr>
        <w:t xml:space="preserve">Управление Судебного департамента </w:t>
      </w:r>
    </w:p>
    <w:p w:rsidR="00163F80" w:rsidRPr="00BD2E6C" w:rsidRDefault="00163F80" w:rsidP="00FC282D">
      <w:pPr>
        <w:jc w:val="center"/>
        <w:rPr>
          <w:sz w:val="28"/>
          <w:szCs w:val="28"/>
        </w:rPr>
      </w:pPr>
      <w:r w:rsidRPr="00BD2E6C">
        <w:rPr>
          <w:sz w:val="28"/>
          <w:szCs w:val="28"/>
        </w:rPr>
        <w:t xml:space="preserve">при Верховном Суде Российской Федерации </w:t>
      </w:r>
    </w:p>
    <w:p w:rsidR="00163F80" w:rsidRPr="00BD2E6C" w:rsidRDefault="00163F80" w:rsidP="00FC282D">
      <w:pPr>
        <w:jc w:val="center"/>
        <w:rPr>
          <w:sz w:val="28"/>
          <w:szCs w:val="28"/>
        </w:rPr>
      </w:pPr>
      <w:r w:rsidRPr="00BD2E6C">
        <w:rPr>
          <w:sz w:val="28"/>
          <w:szCs w:val="28"/>
        </w:rPr>
        <w:t>в Республике Дагестан</w:t>
      </w:r>
    </w:p>
    <w:p w:rsidR="00163F80" w:rsidRPr="00BD2E6C" w:rsidRDefault="00163F80" w:rsidP="00553792">
      <w:pPr>
        <w:rPr>
          <w:b/>
          <w:bCs/>
          <w:sz w:val="56"/>
          <w:szCs w:val="56"/>
        </w:rPr>
      </w:pPr>
    </w:p>
    <w:p w:rsidR="00163F80" w:rsidRPr="00BD2E6C" w:rsidRDefault="00163F80" w:rsidP="00553792">
      <w:pPr>
        <w:rPr>
          <w:b/>
          <w:bCs/>
          <w:sz w:val="56"/>
          <w:szCs w:val="56"/>
        </w:rPr>
      </w:pPr>
    </w:p>
    <w:p w:rsidR="00163F80" w:rsidRPr="00BD2E6C" w:rsidRDefault="00163F80" w:rsidP="00553792">
      <w:pPr>
        <w:rPr>
          <w:b/>
          <w:bCs/>
          <w:sz w:val="56"/>
          <w:szCs w:val="56"/>
        </w:rPr>
      </w:pPr>
    </w:p>
    <w:p w:rsidR="00163F80" w:rsidRPr="00BD2E6C" w:rsidRDefault="00163F80" w:rsidP="00553792">
      <w:pPr>
        <w:rPr>
          <w:b/>
          <w:bCs/>
          <w:sz w:val="56"/>
          <w:szCs w:val="56"/>
        </w:rPr>
      </w:pPr>
    </w:p>
    <w:p w:rsidR="00163F80" w:rsidRPr="00BD2E6C" w:rsidRDefault="00163F80" w:rsidP="00553792">
      <w:pPr>
        <w:rPr>
          <w:b/>
          <w:bCs/>
          <w:sz w:val="56"/>
          <w:szCs w:val="56"/>
        </w:rPr>
      </w:pPr>
    </w:p>
    <w:p w:rsidR="00163F80" w:rsidRPr="00BD2E6C" w:rsidRDefault="00163F80" w:rsidP="00EC1651">
      <w:pPr>
        <w:jc w:val="center"/>
        <w:rPr>
          <w:b/>
          <w:bCs/>
          <w:sz w:val="56"/>
          <w:szCs w:val="56"/>
        </w:rPr>
      </w:pPr>
      <w:r w:rsidRPr="00BD2E6C">
        <w:rPr>
          <w:b/>
          <w:bCs/>
          <w:sz w:val="56"/>
          <w:szCs w:val="56"/>
        </w:rPr>
        <w:t xml:space="preserve">ОБЗОР </w:t>
      </w:r>
      <w:r w:rsidRPr="00BD2E6C">
        <w:rPr>
          <w:b/>
          <w:bCs/>
          <w:sz w:val="56"/>
          <w:szCs w:val="56"/>
        </w:rPr>
        <w:br/>
        <w:t xml:space="preserve">судебной статистики </w:t>
      </w:r>
      <w:r w:rsidRPr="00BD2E6C">
        <w:rPr>
          <w:b/>
          <w:bCs/>
          <w:sz w:val="56"/>
          <w:szCs w:val="56"/>
        </w:rPr>
        <w:br/>
        <w:t xml:space="preserve">о деятельности районных (городских) судов Республики Дагестан </w:t>
      </w:r>
    </w:p>
    <w:p w:rsidR="00163F80" w:rsidRPr="00BD2E6C" w:rsidRDefault="00163F80" w:rsidP="00EC1651">
      <w:pPr>
        <w:jc w:val="center"/>
        <w:rPr>
          <w:b/>
          <w:bCs/>
          <w:sz w:val="56"/>
          <w:szCs w:val="56"/>
        </w:rPr>
      </w:pPr>
      <w:r w:rsidRPr="00BD2E6C">
        <w:rPr>
          <w:b/>
          <w:bCs/>
          <w:sz w:val="56"/>
          <w:szCs w:val="56"/>
        </w:rPr>
        <w:t>в 20</w:t>
      </w:r>
      <w:r>
        <w:rPr>
          <w:b/>
          <w:bCs/>
          <w:sz w:val="56"/>
          <w:szCs w:val="56"/>
        </w:rPr>
        <w:t>24</w:t>
      </w:r>
      <w:r w:rsidRPr="00BD2E6C">
        <w:rPr>
          <w:b/>
          <w:bCs/>
          <w:sz w:val="56"/>
          <w:szCs w:val="56"/>
        </w:rPr>
        <w:t xml:space="preserve"> году</w:t>
      </w:r>
    </w:p>
    <w:p w:rsidR="00163F80" w:rsidRPr="00BD2E6C" w:rsidRDefault="00163F80" w:rsidP="00EC1651">
      <w:pPr>
        <w:jc w:val="center"/>
        <w:rPr>
          <w:sz w:val="40"/>
          <w:szCs w:val="40"/>
        </w:rPr>
      </w:pPr>
    </w:p>
    <w:p w:rsidR="00163F80" w:rsidRPr="00BD2E6C" w:rsidRDefault="00163F80" w:rsidP="00EC1651">
      <w:pPr>
        <w:jc w:val="center"/>
        <w:rPr>
          <w:sz w:val="40"/>
          <w:szCs w:val="40"/>
        </w:rPr>
      </w:pPr>
    </w:p>
    <w:p w:rsidR="00163F80" w:rsidRPr="00BD2E6C" w:rsidRDefault="00163F80" w:rsidP="00553792"/>
    <w:p w:rsidR="00163F80" w:rsidRPr="00BD2E6C" w:rsidRDefault="00163F80" w:rsidP="00553792"/>
    <w:p w:rsidR="00163F80" w:rsidRPr="00BD2E6C" w:rsidRDefault="00163F80" w:rsidP="00553792"/>
    <w:p w:rsidR="00163F80" w:rsidRPr="00A72C64" w:rsidRDefault="00163F80" w:rsidP="00553792"/>
    <w:p w:rsidR="00163F80" w:rsidRPr="00A72C64" w:rsidRDefault="00163F80" w:rsidP="00553792"/>
    <w:p w:rsidR="00163F80" w:rsidRPr="00F632D0" w:rsidRDefault="00163F80" w:rsidP="00553792"/>
    <w:p w:rsidR="00163F80" w:rsidRPr="00F632D0" w:rsidRDefault="00163F80" w:rsidP="00553792"/>
    <w:p w:rsidR="00163F80" w:rsidRPr="00F632D0" w:rsidRDefault="00163F80" w:rsidP="00553792"/>
    <w:p w:rsidR="00163F80" w:rsidRPr="00F632D0" w:rsidRDefault="00163F80" w:rsidP="00553792"/>
    <w:p w:rsidR="00163F80" w:rsidRPr="00F632D0" w:rsidRDefault="00163F80" w:rsidP="00553792"/>
    <w:p w:rsidR="00163F80" w:rsidRPr="00BD2E6C" w:rsidRDefault="00163F80" w:rsidP="00245D84">
      <w:pPr>
        <w:jc w:val="center"/>
        <w:rPr>
          <w:sz w:val="28"/>
          <w:szCs w:val="28"/>
        </w:rPr>
      </w:pPr>
      <w:r w:rsidRPr="00BD2E6C">
        <w:rPr>
          <w:sz w:val="28"/>
          <w:szCs w:val="28"/>
        </w:rPr>
        <w:t>Махачкала</w:t>
      </w:r>
    </w:p>
    <w:p w:rsidR="00163F80" w:rsidRPr="00AF3D63" w:rsidRDefault="00163F80" w:rsidP="00253D02">
      <w:pPr>
        <w:jc w:val="center"/>
        <w:rPr>
          <w:b/>
          <w:bCs/>
          <w:color w:val="FF0000"/>
          <w:sz w:val="28"/>
          <w:szCs w:val="28"/>
        </w:rPr>
      </w:pPr>
      <w:r w:rsidRPr="00E52F14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D2E6C">
        <w:rPr>
          <w:color w:val="7030A0"/>
        </w:rPr>
        <w:br w:type="page"/>
      </w:r>
      <w:bookmarkStart w:id="0" w:name="_Toc360125349"/>
      <w:bookmarkStart w:id="1" w:name="_Toc392090296"/>
      <w:r w:rsidRPr="00440F12">
        <w:rPr>
          <w:b/>
          <w:bCs/>
          <w:sz w:val="28"/>
          <w:szCs w:val="28"/>
        </w:rPr>
        <w:t>Общие сведения</w:t>
      </w:r>
      <w:bookmarkEnd w:id="0"/>
      <w:bookmarkEnd w:id="1"/>
      <w:r>
        <w:rPr>
          <w:b/>
          <w:bCs/>
          <w:sz w:val="28"/>
          <w:szCs w:val="28"/>
        </w:rPr>
        <w:t xml:space="preserve"> </w:t>
      </w:r>
    </w:p>
    <w:p w:rsidR="00163F80" w:rsidRPr="00E075CD" w:rsidRDefault="00163F80" w:rsidP="007D059F">
      <w:pPr>
        <w:rPr>
          <w:color w:val="FF0000"/>
          <w:sz w:val="2"/>
          <w:szCs w:val="2"/>
        </w:rPr>
      </w:pPr>
    </w:p>
    <w:p w:rsidR="00163F80" w:rsidRPr="00B455F3" w:rsidRDefault="00163F80" w:rsidP="00F632D0">
      <w:pPr>
        <w:ind w:firstLine="567"/>
        <w:jc w:val="both"/>
        <w:rPr>
          <w:sz w:val="28"/>
          <w:szCs w:val="28"/>
        </w:rPr>
      </w:pPr>
      <w:r w:rsidRPr="00B455F3">
        <w:rPr>
          <w:sz w:val="28"/>
          <w:szCs w:val="28"/>
        </w:rPr>
        <w:t>По данным сводной статистической отчетности в 2024 году районными (городскими) судами Республики Дагестан по первой и апелляционной инстанциям рассмотрено 121</w:t>
      </w:r>
      <w:r>
        <w:rPr>
          <w:sz w:val="28"/>
          <w:szCs w:val="28"/>
        </w:rPr>
        <w:t> </w:t>
      </w:r>
      <w:r w:rsidRPr="00B455F3">
        <w:rPr>
          <w:sz w:val="28"/>
          <w:szCs w:val="28"/>
        </w:rPr>
        <w:t>518</w:t>
      </w:r>
      <w:r w:rsidRPr="00F632D0">
        <w:rPr>
          <w:sz w:val="28"/>
          <w:szCs w:val="28"/>
        </w:rPr>
        <w:t xml:space="preserve"> </w:t>
      </w:r>
      <w:r w:rsidRPr="00B455F3">
        <w:rPr>
          <w:sz w:val="28"/>
          <w:szCs w:val="28"/>
        </w:rPr>
        <w:t>дел и материалов, что на 4</w:t>
      </w:r>
      <w:r>
        <w:rPr>
          <w:sz w:val="28"/>
          <w:szCs w:val="28"/>
        </w:rPr>
        <w:t> </w:t>
      </w:r>
      <w:r w:rsidRPr="00B455F3">
        <w:rPr>
          <w:sz w:val="28"/>
          <w:szCs w:val="28"/>
        </w:rPr>
        <w:t xml:space="preserve">151 </w:t>
      </w:r>
      <w:r w:rsidRPr="00B455F3">
        <w:rPr>
          <w:sz w:val="28"/>
          <w:szCs w:val="28"/>
        </w:rPr>
        <w:br/>
        <w:t>дел и материалов или на 3,</w:t>
      </w:r>
      <w:r>
        <w:rPr>
          <w:sz w:val="28"/>
          <w:szCs w:val="28"/>
        </w:rPr>
        <w:t>5</w:t>
      </w:r>
      <w:r w:rsidRPr="00B455F3">
        <w:rPr>
          <w:sz w:val="28"/>
          <w:szCs w:val="28"/>
        </w:rPr>
        <w:t xml:space="preserve">% больше, чем в 2023 году, в котором их количество составило 117 367. </w:t>
      </w:r>
    </w:p>
    <w:p w:rsidR="00163F80" w:rsidRDefault="00163F80" w:rsidP="00C934EF">
      <w:pPr>
        <w:pStyle w:val="BodyText"/>
        <w:spacing w:after="0"/>
        <w:ind w:left="57" w:firstLine="85"/>
        <w:jc w:val="center"/>
        <w:rPr>
          <w:noProof/>
          <w:color w:val="800000"/>
          <w:sz w:val="28"/>
          <w:szCs w:val="28"/>
        </w:rPr>
      </w:pPr>
      <w:r w:rsidRPr="001F39C9">
        <w:rPr>
          <w:noProof/>
          <w:color w:val="800000"/>
          <w:sz w:val="28"/>
          <w:szCs w:val="28"/>
        </w:rPr>
        <w:object w:dxaOrig="9764" w:dyaOrig="5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13" o:spid="_x0000_i1025" type="#_x0000_t75" style="width:488.25pt;height:285pt;visibility:visible" o:ole="">
            <v:imagedata r:id="rId7" o:title=""/>
            <o:lock v:ext="edit" aspectratio="f"/>
          </v:shape>
          <o:OLEObject Type="Embed" ProgID="Excel.Chart.8" ShapeID="Объект 13" DrawAspect="Content" ObjectID="_1803734543" r:id="rId8"/>
        </w:object>
      </w:r>
    </w:p>
    <w:p w:rsidR="00163F80" w:rsidRPr="00B11B96" w:rsidRDefault="00163F80" w:rsidP="00C934EF">
      <w:pPr>
        <w:pStyle w:val="BodyText"/>
        <w:spacing w:after="0"/>
        <w:ind w:left="57" w:firstLine="510"/>
        <w:jc w:val="both"/>
        <w:rPr>
          <w:sz w:val="28"/>
          <w:szCs w:val="28"/>
        </w:rPr>
      </w:pPr>
      <w:r w:rsidRPr="00B11B96">
        <w:rPr>
          <w:sz w:val="28"/>
          <w:szCs w:val="28"/>
        </w:rPr>
        <w:t>За 2024 год районными (городскими) судами Республики Дагестан рассмотрено:</w:t>
      </w:r>
    </w:p>
    <w:p w:rsidR="00163F80" w:rsidRPr="00E34DB1" w:rsidRDefault="00163F80" w:rsidP="00E075CD">
      <w:pPr>
        <w:pStyle w:val="BodyText"/>
        <w:tabs>
          <w:tab w:val="left" w:pos="851"/>
        </w:tabs>
        <w:spacing w:after="0"/>
        <w:ind w:left="57" w:firstLine="567"/>
        <w:jc w:val="both"/>
        <w:rPr>
          <w:sz w:val="28"/>
          <w:szCs w:val="28"/>
        </w:rPr>
      </w:pPr>
      <w:r w:rsidRPr="00B11B96">
        <w:rPr>
          <w:sz w:val="28"/>
          <w:szCs w:val="28"/>
        </w:rPr>
        <w:t>-</w:t>
      </w:r>
      <w:r w:rsidRPr="00B11B96">
        <w:rPr>
          <w:sz w:val="28"/>
          <w:szCs w:val="28"/>
        </w:rPr>
        <w:tab/>
        <w:t>8 369 уголовных дел (8 270 по первой инстанции и 99 в апелляционной инстанции), что на 195 дел</w:t>
      </w:r>
      <w:r>
        <w:rPr>
          <w:sz w:val="28"/>
          <w:szCs w:val="28"/>
        </w:rPr>
        <w:t xml:space="preserve"> или на 2,4% </w:t>
      </w:r>
      <w:r w:rsidRPr="00B11B96">
        <w:rPr>
          <w:sz w:val="28"/>
          <w:szCs w:val="28"/>
        </w:rPr>
        <w:t>больше, чем за аналогичный период 2023 года – 8 174 уголовных дела (8 094 по первой инстанции и 80 в апелляционной инстанции).</w:t>
      </w:r>
      <w:r w:rsidRPr="006B3782">
        <w:rPr>
          <w:color w:val="800000"/>
          <w:sz w:val="28"/>
          <w:szCs w:val="28"/>
        </w:rPr>
        <w:t xml:space="preserve"> </w:t>
      </w:r>
      <w:r w:rsidRPr="00E34DB1">
        <w:rPr>
          <w:sz w:val="28"/>
          <w:szCs w:val="28"/>
        </w:rPr>
        <w:t>Среднемесячная нагрузка по рассмотрению уголовных дел в расчете на одного судью</w:t>
      </w:r>
      <w:r w:rsidRPr="00E34DB1">
        <w:rPr>
          <w:rStyle w:val="FootnoteReference"/>
          <w:sz w:val="28"/>
          <w:szCs w:val="28"/>
        </w:rPr>
        <w:footnoteReference w:id="1"/>
      </w:r>
      <w:r w:rsidRPr="00E34DB1">
        <w:rPr>
          <w:sz w:val="28"/>
          <w:szCs w:val="28"/>
        </w:rPr>
        <w:t xml:space="preserve"> в 2024 году составила 4,98 дел (в 2023 году– 4,6 дела).</w:t>
      </w:r>
    </w:p>
    <w:p w:rsidR="00163F80" w:rsidRPr="00D5258C" w:rsidRDefault="00163F80" w:rsidP="00E075CD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6B3782">
        <w:rPr>
          <w:color w:val="800000"/>
          <w:sz w:val="28"/>
          <w:szCs w:val="28"/>
        </w:rPr>
        <w:t>-</w:t>
      </w:r>
      <w:r w:rsidRPr="00D5258C">
        <w:rPr>
          <w:sz w:val="28"/>
          <w:szCs w:val="28"/>
        </w:rPr>
        <w:tab/>
        <w:t>39</w:t>
      </w:r>
      <w:r>
        <w:rPr>
          <w:sz w:val="28"/>
          <w:szCs w:val="28"/>
        </w:rPr>
        <w:t> </w:t>
      </w:r>
      <w:r w:rsidRPr="00D5258C">
        <w:rPr>
          <w:sz w:val="28"/>
          <w:szCs w:val="28"/>
        </w:rPr>
        <w:t>730 гражданских дел (38</w:t>
      </w:r>
      <w:r>
        <w:rPr>
          <w:sz w:val="28"/>
          <w:szCs w:val="28"/>
        </w:rPr>
        <w:t> </w:t>
      </w:r>
      <w:r w:rsidRPr="00D5258C">
        <w:rPr>
          <w:sz w:val="28"/>
          <w:szCs w:val="28"/>
        </w:rPr>
        <w:t>924 по первой инстанции, 806 в апелляционной инстанции), что на 1</w:t>
      </w:r>
      <w:r>
        <w:rPr>
          <w:sz w:val="28"/>
          <w:szCs w:val="28"/>
        </w:rPr>
        <w:t> </w:t>
      </w:r>
      <w:r w:rsidRPr="00D5258C">
        <w:rPr>
          <w:sz w:val="28"/>
          <w:szCs w:val="28"/>
        </w:rPr>
        <w:t>472 дела или на 3,</w:t>
      </w:r>
      <w:r>
        <w:rPr>
          <w:sz w:val="28"/>
          <w:szCs w:val="28"/>
        </w:rPr>
        <w:t>8</w:t>
      </w:r>
      <w:r w:rsidRPr="00D5258C">
        <w:rPr>
          <w:sz w:val="28"/>
          <w:szCs w:val="28"/>
        </w:rPr>
        <w:t>% больше,</w:t>
      </w:r>
      <w:r>
        <w:rPr>
          <w:sz w:val="28"/>
          <w:szCs w:val="28"/>
        </w:rPr>
        <w:t xml:space="preserve"> </w:t>
      </w:r>
      <w:r w:rsidRPr="00D5258C">
        <w:rPr>
          <w:sz w:val="28"/>
          <w:szCs w:val="28"/>
        </w:rPr>
        <w:t>чем в 2023 году, в котором было рассмотрено 38 258 гражданск</w:t>
      </w:r>
      <w:r>
        <w:rPr>
          <w:sz w:val="28"/>
          <w:szCs w:val="28"/>
        </w:rPr>
        <w:t>их</w:t>
      </w:r>
      <w:r w:rsidRPr="00D5258C">
        <w:rPr>
          <w:sz w:val="28"/>
          <w:szCs w:val="28"/>
        </w:rPr>
        <w:t xml:space="preserve"> дел (37 449 по первой инстанции,</w:t>
      </w:r>
      <w:r>
        <w:rPr>
          <w:sz w:val="28"/>
          <w:szCs w:val="28"/>
        </w:rPr>
        <w:t xml:space="preserve"> </w:t>
      </w:r>
      <w:r w:rsidRPr="00D5258C">
        <w:rPr>
          <w:sz w:val="28"/>
          <w:szCs w:val="28"/>
        </w:rPr>
        <w:t>809 в апелляционной инстанции). Нагрузка по рассмотрению гражданских дел в расчете на одного судью в месяц в 2024 году составила 23,</w:t>
      </w:r>
      <w:r>
        <w:rPr>
          <w:sz w:val="28"/>
          <w:szCs w:val="28"/>
        </w:rPr>
        <w:t>9</w:t>
      </w:r>
      <w:r w:rsidRPr="00D5258C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 </w:t>
      </w:r>
      <w:r w:rsidRPr="00D5258C">
        <w:rPr>
          <w:sz w:val="28"/>
          <w:szCs w:val="28"/>
        </w:rPr>
        <w:t xml:space="preserve">(в 2023 году </w:t>
      </w:r>
      <w:r>
        <w:rPr>
          <w:sz w:val="28"/>
          <w:szCs w:val="28"/>
        </w:rPr>
        <w:t xml:space="preserve">– </w:t>
      </w:r>
      <w:r w:rsidRPr="00D5258C">
        <w:rPr>
          <w:sz w:val="28"/>
          <w:szCs w:val="28"/>
        </w:rPr>
        <w:t>21,6 дел</w:t>
      </w:r>
      <w:r>
        <w:rPr>
          <w:sz w:val="28"/>
          <w:szCs w:val="28"/>
        </w:rPr>
        <w:t>)</w:t>
      </w:r>
      <w:r w:rsidRPr="00D5258C">
        <w:rPr>
          <w:sz w:val="28"/>
          <w:szCs w:val="28"/>
        </w:rPr>
        <w:t>.</w:t>
      </w:r>
    </w:p>
    <w:p w:rsidR="00163F80" w:rsidRPr="004D3393" w:rsidRDefault="00163F80" w:rsidP="00E075CD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4D3393">
        <w:rPr>
          <w:sz w:val="28"/>
          <w:szCs w:val="28"/>
        </w:rPr>
        <w:t>-</w:t>
      </w:r>
      <w:r w:rsidRPr="004D3393">
        <w:rPr>
          <w:sz w:val="28"/>
          <w:szCs w:val="28"/>
        </w:rPr>
        <w:tab/>
        <w:t>14 796 административных дел (14 723 по первой инстанции, 73 в апелляционной инстанции), что на 2</w:t>
      </w:r>
      <w:r>
        <w:rPr>
          <w:sz w:val="28"/>
          <w:szCs w:val="28"/>
        </w:rPr>
        <w:t> </w:t>
      </w:r>
      <w:r w:rsidRPr="004D3393">
        <w:rPr>
          <w:sz w:val="28"/>
          <w:szCs w:val="28"/>
        </w:rPr>
        <w:t xml:space="preserve">320 дел или на 13,6% меньше, </w:t>
      </w:r>
      <w:r w:rsidRPr="004D3393">
        <w:rPr>
          <w:sz w:val="28"/>
          <w:szCs w:val="28"/>
        </w:rPr>
        <w:br/>
        <w:t xml:space="preserve">чем в 2023 году – 17 116 административных дел (17 058 по первой инстанции, </w:t>
      </w:r>
      <w:r w:rsidRPr="004D3393">
        <w:rPr>
          <w:sz w:val="28"/>
          <w:szCs w:val="28"/>
        </w:rPr>
        <w:br/>
        <w:t>58 в апелляционной инстанции). Нагрузка по рассмотрению административных дел в расчете на одного судью в месяц в 202</w:t>
      </w:r>
      <w:r>
        <w:rPr>
          <w:sz w:val="28"/>
          <w:szCs w:val="28"/>
        </w:rPr>
        <w:t>4</w:t>
      </w:r>
      <w:r w:rsidRPr="004D3393">
        <w:rPr>
          <w:sz w:val="28"/>
          <w:szCs w:val="28"/>
        </w:rPr>
        <w:t xml:space="preserve"> году составила 8,9 дела</w:t>
      </w:r>
      <w:r>
        <w:rPr>
          <w:sz w:val="28"/>
          <w:szCs w:val="28"/>
        </w:rPr>
        <w:t xml:space="preserve"> (</w:t>
      </w:r>
      <w:r w:rsidRPr="004D3393">
        <w:rPr>
          <w:sz w:val="28"/>
          <w:szCs w:val="28"/>
        </w:rPr>
        <w:t>в 2023 году – 9,6 дел.</w:t>
      </w:r>
    </w:p>
    <w:p w:rsidR="00163F80" w:rsidRPr="008A6D83" w:rsidRDefault="00163F80" w:rsidP="003E4BC2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4D3393">
        <w:rPr>
          <w:sz w:val="28"/>
          <w:szCs w:val="28"/>
        </w:rPr>
        <w:t>-</w:t>
      </w:r>
      <w:r w:rsidRPr="004D3393">
        <w:rPr>
          <w:sz w:val="28"/>
          <w:szCs w:val="28"/>
        </w:rPr>
        <w:tab/>
        <w:t>7 935 дел об административных правонарушениях, что на 1</w:t>
      </w:r>
      <w:r>
        <w:rPr>
          <w:sz w:val="28"/>
          <w:szCs w:val="28"/>
        </w:rPr>
        <w:t> </w:t>
      </w:r>
      <w:r w:rsidRPr="004D3393">
        <w:rPr>
          <w:sz w:val="28"/>
          <w:szCs w:val="28"/>
        </w:rPr>
        <w:t>135 дел или на 12,5</w:t>
      </w:r>
      <w:r>
        <w:rPr>
          <w:sz w:val="28"/>
          <w:szCs w:val="28"/>
        </w:rPr>
        <w:t>%</w:t>
      </w:r>
      <w:r w:rsidRPr="004D3393">
        <w:rPr>
          <w:sz w:val="28"/>
          <w:szCs w:val="28"/>
        </w:rPr>
        <w:t xml:space="preserve"> меньше, чем в 2023 году (9 070 дел). К тому же было рассмотрено 4 820 жалоб на постановления по делам об административных правонарушениях, </w:t>
      </w:r>
      <w:r>
        <w:rPr>
          <w:sz w:val="28"/>
          <w:szCs w:val="28"/>
        </w:rPr>
        <w:br/>
      </w:r>
      <w:r w:rsidRPr="004D3393">
        <w:rPr>
          <w:sz w:val="28"/>
          <w:szCs w:val="28"/>
        </w:rPr>
        <w:t xml:space="preserve">что на 102 жалобы или на 2,1% больше, чем в 2023 году (4 718). Нагрузка </w:t>
      </w:r>
      <w:r>
        <w:rPr>
          <w:sz w:val="28"/>
          <w:szCs w:val="28"/>
        </w:rPr>
        <w:br/>
      </w:r>
      <w:r w:rsidRPr="004D3393">
        <w:rPr>
          <w:sz w:val="28"/>
          <w:szCs w:val="28"/>
        </w:rPr>
        <w:t xml:space="preserve">по рассмотрению дел об административных правонарушениях и жалоб </w:t>
      </w:r>
      <w:r>
        <w:rPr>
          <w:sz w:val="28"/>
          <w:szCs w:val="28"/>
        </w:rPr>
        <w:br/>
      </w:r>
      <w:r w:rsidRPr="004D3393">
        <w:rPr>
          <w:sz w:val="28"/>
          <w:szCs w:val="28"/>
        </w:rPr>
        <w:t xml:space="preserve">на постановления об административных правонарушениях в расчете на одного </w:t>
      </w:r>
      <w:r w:rsidRPr="008A6D83">
        <w:rPr>
          <w:sz w:val="28"/>
          <w:szCs w:val="28"/>
        </w:rPr>
        <w:t>судью в месяц в 2024 году составила 7,7 дела (в 2023 году – 7,8 дел).</w:t>
      </w:r>
      <w:r w:rsidRPr="008A6D83">
        <w:t xml:space="preserve"> </w:t>
      </w:r>
    </w:p>
    <w:p w:rsidR="00163F80" w:rsidRPr="008A6D83" w:rsidRDefault="00163F80" w:rsidP="003E4BC2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8A6D83">
        <w:rPr>
          <w:sz w:val="28"/>
          <w:szCs w:val="28"/>
        </w:rPr>
        <w:t>-</w:t>
      </w:r>
      <w:r w:rsidRPr="008A6D83">
        <w:rPr>
          <w:sz w:val="28"/>
          <w:szCs w:val="28"/>
        </w:rPr>
        <w:tab/>
        <w:t xml:space="preserve">45 868 материалов, что на 5 837 материалов или на 14,6% больше, </w:t>
      </w:r>
      <w:r w:rsidRPr="008A6D83">
        <w:rPr>
          <w:sz w:val="28"/>
          <w:szCs w:val="28"/>
        </w:rPr>
        <w:br/>
        <w:t xml:space="preserve">чем в 2023 году (40 031). Нагрузка по рассмотрению материалов в расчете </w:t>
      </w:r>
      <w:r w:rsidRPr="008A6D83">
        <w:rPr>
          <w:sz w:val="28"/>
          <w:szCs w:val="28"/>
        </w:rPr>
        <w:br/>
        <w:t xml:space="preserve">на 1 судью в месяц составила 27,6 материалов (в 2023 году – 22,6 материалов). </w:t>
      </w:r>
    </w:p>
    <w:p w:rsidR="00163F80" w:rsidRPr="006D408E" w:rsidRDefault="00163F80" w:rsidP="00C934EF">
      <w:pPr>
        <w:spacing w:after="120"/>
        <w:ind w:firstLine="567"/>
        <w:jc w:val="both"/>
        <w:rPr>
          <w:sz w:val="28"/>
          <w:szCs w:val="28"/>
        </w:rPr>
      </w:pPr>
      <w:r w:rsidRPr="00837479">
        <w:rPr>
          <w:sz w:val="28"/>
          <w:szCs w:val="28"/>
        </w:rPr>
        <w:t xml:space="preserve">Среднемесячная служебная нагрузка в расчете на одного судью районного (городского) суда Республики Дагестан по рассмотрению дел и материалов по первой и апелляционной инстанциям в 2024 году в сравнении с аналогичным периодом 2023 года увеличилась </w:t>
      </w:r>
      <w:r>
        <w:rPr>
          <w:sz w:val="28"/>
          <w:szCs w:val="28"/>
        </w:rPr>
        <w:t xml:space="preserve">на </w:t>
      </w:r>
      <w:r w:rsidRPr="006D408E">
        <w:rPr>
          <w:sz w:val="28"/>
          <w:szCs w:val="28"/>
        </w:rPr>
        <w:t>7,1 дел</w:t>
      </w:r>
      <w:r>
        <w:rPr>
          <w:sz w:val="28"/>
          <w:szCs w:val="28"/>
        </w:rPr>
        <w:t xml:space="preserve"> или</w:t>
      </w:r>
      <w:r w:rsidRPr="006D4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10,7% </w:t>
      </w:r>
      <w:r w:rsidRPr="00837479">
        <w:rPr>
          <w:sz w:val="28"/>
          <w:szCs w:val="28"/>
        </w:rPr>
        <w:t>(</w:t>
      </w:r>
      <w:r>
        <w:rPr>
          <w:sz w:val="28"/>
          <w:szCs w:val="28"/>
        </w:rPr>
        <w:t xml:space="preserve">в 2024 году – 73,2 </w:t>
      </w:r>
      <w:r w:rsidRPr="00837479">
        <w:rPr>
          <w:sz w:val="28"/>
          <w:szCs w:val="28"/>
        </w:rPr>
        <w:t>дел и материалов в расчете на одного судью в месяц</w:t>
      </w:r>
      <w:r>
        <w:rPr>
          <w:sz w:val="28"/>
          <w:szCs w:val="28"/>
        </w:rPr>
        <w:t xml:space="preserve">, </w:t>
      </w:r>
      <w:r w:rsidRPr="00837479">
        <w:rPr>
          <w:sz w:val="28"/>
          <w:szCs w:val="28"/>
        </w:rPr>
        <w:t>в 2023 году – 66,1 дел и материалов в расчете на одного судью в месяц, в 2022 году – 131,3 дел и материалов в расчете на одного судью в месяц</w:t>
      </w:r>
      <w:r w:rsidRPr="006D408E">
        <w:rPr>
          <w:sz w:val="28"/>
          <w:szCs w:val="28"/>
        </w:rPr>
        <w:t>). При этом среднемесячная служебная нагрузка по рассмотрению дел и материалов по первой и апелляционной инстанциям в расчете на одного судью Республики Дагестан превышает среднюю по стране на 10,2 дела или на 16</w:t>
      </w:r>
      <w:r>
        <w:rPr>
          <w:sz w:val="28"/>
          <w:szCs w:val="28"/>
        </w:rPr>
        <w:t>,2</w:t>
      </w:r>
      <w:r w:rsidRPr="006D408E">
        <w:rPr>
          <w:sz w:val="28"/>
          <w:szCs w:val="28"/>
        </w:rPr>
        <w:t xml:space="preserve">% (63 дела), на </w:t>
      </w:r>
      <w:r>
        <w:rPr>
          <w:sz w:val="28"/>
          <w:szCs w:val="28"/>
        </w:rPr>
        <w:t>12</w:t>
      </w:r>
      <w:r w:rsidRPr="006D408E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6D408E">
        <w:rPr>
          <w:sz w:val="28"/>
          <w:szCs w:val="28"/>
        </w:rPr>
        <w:t xml:space="preserve"> дел или на </w:t>
      </w:r>
      <w:r>
        <w:rPr>
          <w:sz w:val="28"/>
          <w:szCs w:val="28"/>
        </w:rPr>
        <w:t>21</w:t>
      </w:r>
      <w:r w:rsidRPr="006D408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6D408E">
        <w:rPr>
          <w:sz w:val="28"/>
          <w:szCs w:val="28"/>
        </w:rPr>
        <w:t>% превышает среднюю по Северо-Кавказскому федеральному округу (60,3 дела).</w:t>
      </w:r>
    </w:p>
    <w:p w:rsidR="00163F80" w:rsidRDefault="00163F80" w:rsidP="005323C4">
      <w:pPr>
        <w:ind w:firstLine="567"/>
        <w:jc w:val="center"/>
        <w:rPr>
          <w:sz w:val="28"/>
          <w:szCs w:val="28"/>
        </w:rPr>
      </w:pPr>
      <w:r w:rsidRPr="005323C4">
        <w:rPr>
          <w:b/>
          <w:bCs/>
          <w:sz w:val="28"/>
          <w:szCs w:val="28"/>
        </w:rPr>
        <w:t xml:space="preserve">Сведения об итоговой служебной нагрузке судей районных (городских) судов по рассмотрению дел и материалов в расчете на 1 судью в месяц </w:t>
      </w:r>
      <w:r w:rsidRPr="005323C4">
        <w:rPr>
          <w:b/>
          <w:bCs/>
          <w:sz w:val="28"/>
          <w:szCs w:val="28"/>
        </w:rPr>
        <w:br/>
        <w:t>по 1 и апелляционной инстанциям за 2024 год</w:t>
      </w:r>
    </w:p>
    <w:p w:rsidR="00163F80" w:rsidRDefault="00163F80" w:rsidP="007D059F">
      <w:pPr>
        <w:ind w:firstLine="567"/>
        <w:jc w:val="both"/>
        <w:rPr>
          <w:sz w:val="28"/>
          <w:szCs w:val="28"/>
        </w:rPr>
      </w:pPr>
      <w:r w:rsidRPr="001F39C9">
        <w:rPr>
          <w:noProof/>
          <w:sz w:val="28"/>
          <w:szCs w:val="28"/>
        </w:rPr>
        <w:object w:dxaOrig="8804" w:dyaOrig="3187">
          <v:shape id="Объект 3" o:spid="_x0000_i1026" type="#_x0000_t75" style="width:464.25pt;height:177pt;visibility:visible" o:ole="">
            <v:imagedata r:id="rId9" o:title="" croptop="-1316f" cropbottom="-5943f" cropleft="-1124f" cropright="-4593f"/>
            <o:lock v:ext="edit" aspectratio="f"/>
          </v:shape>
          <o:OLEObject Type="Embed" ProgID="Excel.Chart.8" ShapeID="Объект 3" DrawAspect="Content" ObjectID="_1803734544" r:id="rId10"/>
        </w:object>
      </w:r>
      <w:r w:rsidRPr="00A92371">
        <w:rPr>
          <w:noProof/>
          <w:sz w:val="28"/>
          <w:szCs w:val="28"/>
        </w:rPr>
        <w:pict>
          <v:shape id="Рисунок 2" o:spid="_x0000_i1027" type="#_x0000_t75" style="width:487.5pt;height:119.25pt;visibility:visible">
            <v:imagedata r:id="rId11" o:title=""/>
          </v:shape>
        </w:pict>
      </w:r>
    </w:p>
    <w:p w:rsidR="00163F80" w:rsidRDefault="00163F80" w:rsidP="007D059F">
      <w:pPr>
        <w:ind w:firstLine="567"/>
        <w:jc w:val="both"/>
        <w:rPr>
          <w:sz w:val="28"/>
          <w:szCs w:val="28"/>
        </w:rPr>
      </w:pPr>
    </w:p>
    <w:p w:rsidR="00163F80" w:rsidRDefault="00163F80" w:rsidP="007D059F">
      <w:pPr>
        <w:ind w:firstLine="567"/>
        <w:jc w:val="both"/>
        <w:rPr>
          <w:sz w:val="28"/>
          <w:szCs w:val="28"/>
        </w:rPr>
      </w:pPr>
    </w:p>
    <w:p w:rsidR="00163F80" w:rsidRPr="00D34FA4" w:rsidRDefault="00163F80" w:rsidP="007D059F">
      <w:pPr>
        <w:ind w:firstLine="567"/>
        <w:jc w:val="both"/>
        <w:rPr>
          <w:sz w:val="28"/>
          <w:szCs w:val="28"/>
        </w:rPr>
      </w:pPr>
      <w:r w:rsidRPr="00D34FA4">
        <w:rPr>
          <w:sz w:val="28"/>
          <w:szCs w:val="28"/>
        </w:rPr>
        <w:t xml:space="preserve">Среднемесячная служебная нагрузка по рассмотрению дел и материалов </w:t>
      </w:r>
      <w:r w:rsidRPr="00D34FA4">
        <w:rPr>
          <w:sz w:val="28"/>
          <w:szCs w:val="28"/>
        </w:rPr>
        <w:br/>
        <w:t xml:space="preserve">по первой и апелляционной инстанциям в расчете на одного судью за 2024 год среди судов республики распределена неравномерно – от 14,6 единиц в Лакском районном суде до 222,1 единиц в Карабудахкентском районном суде. </w:t>
      </w:r>
    </w:p>
    <w:p w:rsidR="00163F80" w:rsidRPr="00B454D2" w:rsidRDefault="00163F80" w:rsidP="004D7453">
      <w:pPr>
        <w:ind w:firstLine="567"/>
        <w:jc w:val="both"/>
        <w:rPr>
          <w:sz w:val="28"/>
          <w:szCs w:val="28"/>
        </w:rPr>
      </w:pPr>
      <w:r w:rsidRPr="00011CED">
        <w:rPr>
          <w:sz w:val="28"/>
          <w:szCs w:val="28"/>
        </w:rPr>
        <w:t>В 8 судах, где штатная численность судей составляет 91 или 42,3% от общей штатной численности судей республики, а фактическая численность судей по состоянию на 31.12.202</w:t>
      </w:r>
      <w:r>
        <w:rPr>
          <w:sz w:val="28"/>
          <w:szCs w:val="28"/>
        </w:rPr>
        <w:t>4</w:t>
      </w:r>
      <w:r w:rsidRPr="00011CED">
        <w:rPr>
          <w:sz w:val="28"/>
          <w:szCs w:val="28"/>
        </w:rPr>
        <w:t xml:space="preserve"> составляла 62 судей или 39,2% от общей фактической численности судей республики, среднемесячная служебная нагрузка по рассмотрению дел и материалов по первой и апелляционной инстанциям в расчете на одного судью выше средней по республике: Карабудахкентский районный суд – 222,1; Дербентский городской суд – 145,9; Кировский районный суд г. Махачкалы – 120,0; Ленинский районный суд г. Махачкалы – 111,8; Буйнакский городской суд – 109,8; Советский районный суд г. Махачкалы – 104,4; Каспийский городской суд – 102,6; Хасавюртовский городской суд – 102,1.</w:t>
      </w:r>
      <w:r w:rsidRPr="006B3782">
        <w:rPr>
          <w:color w:val="800000"/>
          <w:sz w:val="28"/>
          <w:szCs w:val="28"/>
        </w:rPr>
        <w:t xml:space="preserve"> </w:t>
      </w:r>
      <w:r w:rsidRPr="00B454D2">
        <w:rPr>
          <w:sz w:val="28"/>
          <w:szCs w:val="28"/>
        </w:rPr>
        <w:t>В остальных 33 судах среднемесячная служебная нагрузка по рассмотрению дел и материалов в расчете на одного судью ниже средней по республике.</w:t>
      </w:r>
    </w:p>
    <w:p w:rsidR="00163F80" w:rsidRPr="00162A03" w:rsidRDefault="00163F80" w:rsidP="00100216">
      <w:pPr>
        <w:spacing w:after="120"/>
        <w:ind w:firstLine="567"/>
        <w:jc w:val="both"/>
        <w:rPr>
          <w:sz w:val="28"/>
          <w:szCs w:val="28"/>
        </w:rPr>
      </w:pPr>
      <w:r w:rsidRPr="00162A03">
        <w:rPr>
          <w:sz w:val="28"/>
          <w:szCs w:val="28"/>
        </w:rPr>
        <w:t xml:space="preserve">Сравнительный анализ среднемесячной служебной нагрузки </w:t>
      </w:r>
      <w:r w:rsidRPr="00162A03">
        <w:rPr>
          <w:sz w:val="28"/>
          <w:szCs w:val="28"/>
        </w:rPr>
        <w:br/>
        <w:t xml:space="preserve">по рассмотрению дел и материалов по первой и апелляционной инстанциям </w:t>
      </w:r>
      <w:r w:rsidRPr="00162A03">
        <w:rPr>
          <w:sz w:val="28"/>
          <w:szCs w:val="28"/>
        </w:rPr>
        <w:br/>
        <w:t xml:space="preserve">в расчете на одного судью за последние 5 лет показал, что самый высокий </w:t>
      </w:r>
      <w:r w:rsidRPr="00162A03">
        <w:rPr>
          <w:sz w:val="28"/>
          <w:szCs w:val="28"/>
        </w:rPr>
        <w:br/>
        <w:t xml:space="preserve">ее показатель приходится на 2021 год, в котором нагрузка в 2,5 раза больше, чем в 2024 году. В сравнении с 2023 годом среднемесячная служебная нагрузка по рассмотрению дел и материалов по первой и апелляционной инстанциям в расчете на одного судью увеличилась на 10,7% (в 2020 году – 109,3, в 2021 году – 183,8, в 2022 году – 131,3, в 2023 году – 66,1, в 2024 году – 73,2). </w:t>
      </w:r>
    </w:p>
    <w:p w:rsidR="00163F80" w:rsidRPr="006B3782" w:rsidRDefault="00163F80" w:rsidP="00FA06DA">
      <w:pPr>
        <w:jc w:val="center"/>
        <w:rPr>
          <w:color w:val="800000"/>
          <w:sz w:val="18"/>
          <w:szCs w:val="18"/>
        </w:rPr>
      </w:pPr>
      <w:r w:rsidRPr="001F39C9">
        <w:rPr>
          <w:noProof/>
          <w:color w:val="800000"/>
        </w:rPr>
        <w:object w:dxaOrig="8919" w:dyaOrig="2775">
          <v:shape id="Объект 4" o:spid="_x0000_i1028" type="#_x0000_t75" style="width:439.5pt;height:162.75pt;visibility:visible" o:ole="">
            <v:imagedata r:id="rId12" o:title="" croptop="-2196f" cropbottom="-9140f" cropleft="-3013f" cropright="-191f"/>
            <o:lock v:ext="edit" aspectratio="f"/>
          </v:shape>
          <o:OLEObject Type="Embed" ProgID="Excel.Chart.8" ShapeID="Объект 4" DrawAspect="Content" ObjectID="_1803734545" r:id="rId13"/>
        </w:object>
      </w:r>
    </w:p>
    <w:p w:rsidR="00163F80" w:rsidRPr="00E50D8B" w:rsidRDefault="00163F80" w:rsidP="00FA06DA">
      <w:pPr>
        <w:jc w:val="center"/>
        <w:rPr>
          <w:b/>
          <w:bCs/>
          <w:sz w:val="28"/>
          <w:szCs w:val="28"/>
        </w:rPr>
      </w:pPr>
      <w:r w:rsidRPr="00E50D8B">
        <w:rPr>
          <w:b/>
          <w:bCs/>
          <w:sz w:val="28"/>
          <w:szCs w:val="28"/>
        </w:rPr>
        <w:t xml:space="preserve">Рассмотрение уголовных дел </w:t>
      </w:r>
    </w:p>
    <w:p w:rsidR="00163F80" w:rsidRPr="00E50D8B" w:rsidRDefault="00163F80" w:rsidP="00E47A91">
      <w:pPr>
        <w:tabs>
          <w:tab w:val="left" w:pos="9180"/>
          <w:tab w:val="left" w:pos="9355"/>
          <w:tab w:val="left" w:pos="9637"/>
          <w:tab w:val="left" w:pos="9720"/>
        </w:tabs>
        <w:ind w:firstLine="900"/>
        <w:jc w:val="center"/>
        <w:rPr>
          <w:b/>
          <w:bCs/>
          <w:sz w:val="12"/>
          <w:szCs w:val="12"/>
        </w:rPr>
      </w:pPr>
    </w:p>
    <w:p w:rsidR="00163F80" w:rsidRDefault="00163F80" w:rsidP="0076086A">
      <w:pPr>
        <w:pStyle w:val="NormalWeb"/>
        <w:spacing w:before="0" w:beforeAutospacing="0" w:after="0" w:afterAutospacing="0"/>
        <w:ind w:firstLine="567"/>
        <w:jc w:val="both"/>
        <w:rPr>
          <w:noProof/>
          <w:color w:val="800000"/>
          <w:sz w:val="28"/>
          <w:szCs w:val="28"/>
          <w:highlight w:val="yellow"/>
        </w:rPr>
      </w:pPr>
      <w:r w:rsidRPr="00E50D8B">
        <w:rPr>
          <w:noProof/>
          <w:sz w:val="28"/>
          <w:szCs w:val="28"/>
        </w:rPr>
        <w:t>Районными (городскими) судами республики в 2024 году рассмотрено 8 270 уголовных дел по первой инстанции (в 2023 году – 8094, в 2022 году – 7 943).</w:t>
      </w:r>
      <w:r w:rsidRPr="00E50D8B">
        <w:rPr>
          <w:noProof/>
          <w:color w:val="800000"/>
          <w:sz w:val="28"/>
          <w:szCs w:val="28"/>
          <w:highlight w:val="yellow"/>
        </w:rPr>
        <w:t xml:space="preserve"> </w:t>
      </w:r>
    </w:p>
    <w:p w:rsidR="00163F80" w:rsidRPr="00EE661C" w:rsidRDefault="00163F80" w:rsidP="0076086A">
      <w:pPr>
        <w:pStyle w:val="NormalWeb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EE661C">
        <w:rPr>
          <w:noProof/>
          <w:sz w:val="28"/>
          <w:szCs w:val="28"/>
        </w:rPr>
        <w:t>При этом количество рассмотренных уголовных дел с нарушением установленных процессуальных сроков уменьшилось на 43,3 % (183 дела в 2024 году</w:t>
      </w:r>
      <w:r>
        <w:rPr>
          <w:noProof/>
          <w:sz w:val="28"/>
          <w:szCs w:val="28"/>
        </w:rPr>
        <w:t>,</w:t>
      </w:r>
      <w:r w:rsidRPr="00EE661C">
        <w:rPr>
          <w:noProof/>
          <w:sz w:val="28"/>
          <w:szCs w:val="28"/>
        </w:rPr>
        <w:t xml:space="preserve"> 323 дела в 2023 году). Доля таких дел от общего количества уголовных дел, оконченных производством по первой инстанции, составила 2% (в 2023 году – 4,0%,</w:t>
      </w:r>
      <w:r>
        <w:rPr>
          <w:noProof/>
          <w:sz w:val="28"/>
          <w:szCs w:val="28"/>
        </w:rPr>
        <w:t xml:space="preserve"> </w:t>
      </w:r>
      <w:r w:rsidRPr="00EE661C">
        <w:rPr>
          <w:noProof/>
          <w:sz w:val="28"/>
          <w:szCs w:val="28"/>
        </w:rPr>
        <w:t xml:space="preserve">в 2022 году – 5,5%). </w:t>
      </w:r>
    </w:p>
    <w:p w:rsidR="00163F80" w:rsidRPr="00EE661C" w:rsidRDefault="00163F80" w:rsidP="0076086A">
      <w:pPr>
        <w:pStyle w:val="NormalWeb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EE661C">
        <w:rPr>
          <w:noProof/>
          <w:sz w:val="28"/>
          <w:szCs w:val="28"/>
        </w:rPr>
        <w:t xml:space="preserve">Из рассмотренных в 2024 году судами республики 8 270 уголовных дел </w:t>
      </w:r>
      <w:r w:rsidRPr="00EE661C">
        <w:rPr>
          <w:noProof/>
          <w:sz w:val="28"/>
          <w:szCs w:val="28"/>
        </w:rPr>
        <w:br/>
        <w:t xml:space="preserve">8 263 рассмотрено единолично судьей и 7 дел с участием присяжных заседателей. </w:t>
      </w:r>
    </w:p>
    <w:p w:rsidR="00163F80" w:rsidRPr="00E50D8B" w:rsidRDefault="00163F80" w:rsidP="008E1814">
      <w:pPr>
        <w:pStyle w:val="NormalWeb"/>
        <w:spacing w:before="0" w:beforeAutospacing="0" w:after="0" w:afterAutospacing="0"/>
        <w:jc w:val="center"/>
        <w:rPr>
          <w:noProof/>
          <w:sz w:val="16"/>
          <w:szCs w:val="16"/>
          <w:highlight w:val="yellow"/>
        </w:rPr>
      </w:pPr>
    </w:p>
    <w:p w:rsidR="00163F80" w:rsidRPr="00C96263" w:rsidRDefault="00163F80" w:rsidP="0076086A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C96263">
        <w:rPr>
          <w:sz w:val="28"/>
          <w:szCs w:val="28"/>
        </w:rPr>
        <w:t>Из общего количества оконченных производством уголовных дел по первой инстанции:</w:t>
      </w:r>
    </w:p>
    <w:p w:rsidR="00163F80" w:rsidRPr="00C96263" w:rsidRDefault="00163F80" w:rsidP="00F67D08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C96263">
        <w:rPr>
          <w:sz w:val="28"/>
          <w:szCs w:val="28"/>
        </w:rPr>
        <w:t>рассмотрено по существу 7 839 дел или 94,8% (в 2023 году – 7</w:t>
      </w:r>
      <w:r>
        <w:rPr>
          <w:sz w:val="28"/>
          <w:szCs w:val="28"/>
        </w:rPr>
        <w:t> </w:t>
      </w:r>
      <w:r w:rsidRPr="00C96263">
        <w:rPr>
          <w:sz w:val="28"/>
          <w:szCs w:val="28"/>
        </w:rPr>
        <w:t>661 дело или 94,7%, в 2022 году – 7 601 дело или 95,6%). Из них с вынесением приговора рассмотрено 6 797 дел или 82,1% (в 2023 году - 6 485 дел или 84,7%</w:t>
      </w:r>
      <w:r>
        <w:rPr>
          <w:sz w:val="28"/>
          <w:szCs w:val="28"/>
        </w:rPr>
        <w:t>,</w:t>
      </w:r>
      <w:r w:rsidRPr="00C96263">
        <w:rPr>
          <w:sz w:val="28"/>
          <w:szCs w:val="28"/>
        </w:rPr>
        <w:t xml:space="preserve"> в 2022 году – 6 441 дело или 84,7%), с прекращением производства по делу – 987 дел или 11,9% (в 2023 году – 1 091 дело или 14,2%</w:t>
      </w:r>
      <w:r>
        <w:rPr>
          <w:sz w:val="28"/>
          <w:szCs w:val="28"/>
        </w:rPr>
        <w:t>,</w:t>
      </w:r>
      <w:r w:rsidRPr="00C96263">
        <w:rPr>
          <w:sz w:val="28"/>
          <w:szCs w:val="28"/>
        </w:rPr>
        <w:t xml:space="preserve"> в 2022 году – 1 105 дел или 14,6%), </w:t>
      </w:r>
      <w:r>
        <w:rPr>
          <w:sz w:val="28"/>
          <w:szCs w:val="28"/>
        </w:rPr>
        <w:br/>
      </w:r>
      <w:r w:rsidRPr="00C96263">
        <w:rPr>
          <w:sz w:val="28"/>
          <w:szCs w:val="28"/>
        </w:rPr>
        <w:t xml:space="preserve">с применением принудительных мер медицинского характера к невменяемым – </w:t>
      </w:r>
      <w:r>
        <w:rPr>
          <w:sz w:val="28"/>
          <w:szCs w:val="28"/>
        </w:rPr>
        <w:br/>
      </w:r>
      <w:r w:rsidRPr="00C96263">
        <w:rPr>
          <w:sz w:val="28"/>
          <w:szCs w:val="28"/>
        </w:rPr>
        <w:t>55 дел или 0,7% (в 2023 году– 85 дел или 1,1%</w:t>
      </w:r>
      <w:r>
        <w:rPr>
          <w:sz w:val="28"/>
          <w:szCs w:val="28"/>
        </w:rPr>
        <w:t>,</w:t>
      </w:r>
      <w:r w:rsidRPr="00C96263">
        <w:rPr>
          <w:sz w:val="28"/>
          <w:szCs w:val="28"/>
        </w:rPr>
        <w:t xml:space="preserve"> в 2022 году – 55 или 0,7%)</w:t>
      </w:r>
      <w:r>
        <w:rPr>
          <w:sz w:val="28"/>
          <w:szCs w:val="28"/>
        </w:rPr>
        <w:t>;</w:t>
      </w:r>
      <w:r w:rsidRPr="00C96263">
        <w:rPr>
          <w:sz w:val="28"/>
          <w:szCs w:val="28"/>
        </w:rPr>
        <w:t xml:space="preserve"> </w:t>
      </w:r>
    </w:p>
    <w:p w:rsidR="00163F80" w:rsidRPr="00C96263" w:rsidRDefault="00163F80" w:rsidP="0076086A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C96263">
        <w:rPr>
          <w:sz w:val="28"/>
          <w:szCs w:val="28"/>
        </w:rPr>
        <w:t xml:space="preserve">передано по подсудности, подведомственности 259 дел или 3,1% </w:t>
      </w:r>
      <w:r w:rsidRPr="00C96263">
        <w:rPr>
          <w:sz w:val="28"/>
          <w:szCs w:val="28"/>
        </w:rPr>
        <w:br/>
        <w:t xml:space="preserve">(в 2023 году </w:t>
      </w:r>
      <w:r>
        <w:rPr>
          <w:sz w:val="28"/>
          <w:szCs w:val="28"/>
        </w:rPr>
        <w:t>–</w:t>
      </w:r>
      <w:r w:rsidRPr="00C96263">
        <w:rPr>
          <w:sz w:val="28"/>
          <w:szCs w:val="28"/>
        </w:rPr>
        <w:t xml:space="preserve"> 233 дела или 2,9%, в 2022 году – 171 дело или 2,2%); </w:t>
      </w:r>
    </w:p>
    <w:p w:rsidR="00163F80" w:rsidRPr="00C96263" w:rsidRDefault="00163F80" w:rsidP="0076086A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C96263">
        <w:rPr>
          <w:sz w:val="28"/>
          <w:szCs w:val="28"/>
        </w:rPr>
        <w:t xml:space="preserve">возвращено прокурору для устранения недостатков в порядке </w:t>
      </w:r>
      <w:r w:rsidRPr="00C96263">
        <w:rPr>
          <w:sz w:val="28"/>
          <w:szCs w:val="28"/>
        </w:rPr>
        <w:br/>
        <w:t xml:space="preserve">статьи 237 УПК РФ, возвращено органам предварительного расследования с отказом по ходатайствам в прекращении уголовных дел с назначением судебного штрафа в порядке статьи 446.2 УПК РФ, а также с отказом в принятии </w:t>
      </w:r>
      <w:r>
        <w:rPr>
          <w:sz w:val="28"/>
          <w:szCs w:val="28"/>
        </w:rPr>
        <w:t>таких ходатайств к рассмотрению</w:t>
      </w:r>
      <w:r w:rsidRPr="00C96263">
        <w:rPr>
          <w:sz w:val="28"/>
          <w:szCs w:val="28"/>
        </w:rPr>
        <w:t xml:space="preserve"> – 172 дела или 2,1% (в 2023 году – 200 дел или 2,4%</w:t>
      </w:r>
      <w:r>
        <w:rPr>
          <w:sz w:val="28"/>
          <w:szCs w:val="28"/>
        </w:rPr>
        <w:t>,</w:t>
      </w:r>
      <w:r w:rsidRPr="00C96263">
        <w:rPr>
          <w:sz w:val="28"/>
          <w:szCs w:val="28"/>
        </w:rPr>
        <w:t xml:space="preserve"> в 2022 году – 171 дело или 2,2%).</w:t>
      </w:r>
    </w:p>
    <w:p w:rsidR="00163F80" w:rsidRPr="00E50D8B" w:rsidRDefault="00163F80" w:rsidP="0076086A">
      <w:pPr>
        <w:shd w:val="clear" w:color="auto" w:fill="FFFFFF"/>
        <w:spacing w:after="120"/>
        <w:ind w:firstLine="567"/>
        <w:jc w:val="both"/>
        <w:rPr>
          <w:noProof/>
          <w:sz w:val="2"/>
          <w:szCs w:val="2"/>
          <w:highlight w:val="yellow"/>
        </w:rPr>
      </w:pPr>
    </w:p>
    <w:p w:rsidR="00163F80" w:rsidRDefault="00163F80" w:rsidP="00F47BE3">
      <w:pPr>
        <w:spacing w:after="120"/>
        <w:ind w:firstLine="567"/>
        <w:jc w:val="both"/>
        <w:rPr>
          <w:sz w:val="30"/>
          <w:szCs w:val="30"/>
        </w:rPr>
      </w:pPr>
      <w:r w:rsidRPr="00C738CF">
        <w:rPr>
          <w:noProof/>
          <w:sz w:val="28"/>
          <w:szCs w:val="28"/>
        </w:rPr>
        <w:t xml:space="preserve">Из 8 270 оконченных производством уголовных дел 3 165 или 38,3% составляют дела по преступлениям, предусмотренным разделом 9 УК РФ «Преступления против общественной безопасности и общественного порядка», 2 478 дел или 30% – разделом </w:t>
      </w:r>
      <w:hyperlink r:id="rId14" w:history="1">
        <w:r w:rsidRPr="00C738CF">
          <w:rPr>
            <w:sz w:val="30"/>
            <w:szCs w:val="30"/>
          </w:rPr>
          <w:t xml:space="preserve">8 </w:t>
        </w:r>
        <w:r w:rsidRPr="00C738CF">
          <w:rPr>
            <w:noProof/>
            <w:sz w:val="28"/>
            <w:szCs w:val="28"/>
          </w:rPr>
          <w:t>УК РФ</w:t>
        </w:r>
        <w:r w:rsidRPr="00C738CF">
          <w:rPr>
            <w:sz w:val="30"/>
            <w:szCs w:val="30"/>
          </w:rPr>
          <w:t xml:space="preserve"> «Преступления в сфере экономик</w:t>
        </w:r>
      </w:hyperlink>
      <w:r w:rsidRPr="00C738CF">
        <w:rPr>
          <w:sz w:val="30"/>
          <w:szCs w:val="30"/>
        </w:rPr>
        <w:t xml:space="preserve">и», </w:t>
      </w:r>
      <w:r w:rsidRPr="000B1686">
        <w:rPr>
          <w:sz w:val="30"/>
          <w:szCs w:val="30"/>
        </w:rPr>
        <w:t xml:space="preserve">402 дела или 4,9% – разделом 7 </w:t>
      </w:r>
      <w:r w:rsidRPr="000B1686">
        <w:rPr>
          <w:noProof/>
          <w:sz w:val="28"/>
          <w:szCs w:val="28"/>
        </w:rPr>
        <w:t>УК РФ</w:t>
      </w:r>
      <w:r w:rsidRPr="000B1686">
        <w:rPr>
          <w:sz w:val="30"/>
          <w:szCs w:val="30"/>
        </w:rPr>
        <w:t xml:space="preserve"> «Преступления против личности»,</w:t>
      </w:r>
      <w:r w:rsidRPr="000B1686">
        <w:rPr>
          <w:sz w:val="30"/>
          <w:szCs w:val="30"/>
        </w:rPr>
        <w:br/>
        <w:t xml:space="preserve">369 дел или 4,5% – разделом 10 </w:t>
      </w:r>
      <w:r w:rsidRPr="000B1686">
        <w:rPr>
          <w:noProof/>
          <w:sz w:val="28"/>
          <w:szCs w:val="28"/>
        </w:rPr>
        <w:t>УК РФ</w:t>
      </w:r>
      <w:r w:rsidRPr="000B1686">
        <w:rPr>
          <w:sz w:val="30"/>
          <w:szCs w:val="30"/>
        </w:rPr>
        <w:t xml:space="preserve"> «Преступления против </w:t>
      </w:r>
      <w:r w:rsidRPr="000E6F40">
        <w:rPr>
          <w:sz w:val="30"/>
          <w:szCs w:val="30"/>
        </w:rPr>
        <w:t>государственной власти», 1 856 или 22,4% – по прочим преступлениям.</w:t>
      </w:r>
    </w:p>
    <w:p w:rsidR="00163F80" w:rsidRDefault="00163F80" w:rsidP="00F47BE3">
      <w:pPr>
        <w:spacing w:after="120"/>
        <w:ind w:firstLine="567"/>
        <w:jc w:val="both"/>
        <w:rPr>
          <w:sz w:val="30"/>
          <w:szCs w:val="30"/>
        </w:rPr>
      </w:pPr>
    </w:p>
    <w:p w:rsidR="00163F80" w:rsidRDefault="00163F80" w:rsidP="00796F2B">
      <w:pPr>
        <w:spacing w:after="120"/>
        <w:jc w:val="both"/>
        <w:rPr>
          <w:sz w:val="30"/>
          <w:szCs w:val="30"/>
        </w:rPr>
      </w:pPr>
      <w:r w:rsidRPr="00A92371">
        <w:rPr>
          <w:noProof/>
          <w:sz w:val="30"/>
          <w:szCs w:val="30"/>
        </w:rPr>
        <w:pict>
          <v:shape id="Рисунок 5" o:spid="_x0000_i1029" type="#_x0000_t75" style="width:489.75pt;height:261.75pt;visibility:visible">
            <v:imagedata r:id="rId15" o:title=""/>
          </v:shape>
        </w:pict>
      </w:r>
    </w:p>
    <w:p w:rsidR="00163F80" w:rsidRDefault="00163F80" w:rsidP="00005C52">
      <w:pPr>
        <w:pStyle w:val="NormalWeb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</w:p>
    <w:p w:rsidR="00163F80" w:rsidRDefault="00163F80" w:rsidP="00005C52">
      <w:pPr>
        <w:pStyle w:val="NormalWeb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</w:p>
    <w:p w:rsidR="00163F80" w:rsidRDefault="00163F80" w:rsidP="00005C52">
      <w:pPr>
        <w:pStyle w:val="NormalWeb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</w:p>
    <w:p w:rsidR="00163F80" w:rsidRPr="00BF185A" w:rsidRDefault="00163F80" w:rsidP="00005C52">
      <w:pPr>
        <w:pStyle w:val="NormalWeb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BF185A">
        <w:rPr>
          <w:noProof/>
          <w:sz w:val="28"/>
          <w:szCs w:val="28"/>
        </w:rPr>
        <w:t>Структура оконченных уголовных дел по первой инстанции выглядит следующим образом:</w:t>
      </w:r>
    </w:p>
    <w:p w:rsidR="00163F80" w:rsidRPr="00BF185A" w:rsidRDefault="00163F80" w:rsidP="005C19AD">
      <w:pPr>
        <w:pStyle w:val="NormalWeb"/>
        <w:spacing w:before="0" w:beforeAutospacing="0" w:after="0" w:afterAutospacing="0"/>
        <w:ind w:firstLine="709"/>
        <w:jc w:val="both"/>
        <w:rPr>
          <w:noProof/>
          <w:sz w:val="14"/>
          <w:szCs w:val="14"/>
        </w:rPr>
      </w:pPr>
      <w:r w:rsidRPr="00BF185A">
        <w:rPr>
          <w:noProof/>
          <w:sz w:val="14"/>
          <w:szCs w:val="14"/>
        </w:rPr>
        <w:t xml:space="preserve"> </w:t>
      </w:r>
    </w:p>
    <w:tbl>
      <w:tblPr>
        <w:tblW w:w="10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4678"/>
        <w:gridCol w:w="1164"/>
        <w:gridCol w:w="1254"/>
        <w:gridCol w:w="992"/>
        <w:gridCol w:w="1370"/>
        <w:gridCol w:w="936"/>
      </w:tblGrid>
      <w:tr w:rsidR="00163F80" w:rsidRPr="00BF185A">
        <w:trPr>
          <w:trHeight w:val="626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bookmarkStart w:id="2" w:name="OLE_LINK2"/>
            <w:r w:rsidRPr="00BF185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Виды преступлений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Статья УК РФ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3F80" w:rsidRPr="00BF185A" w:rsidRDefault="00163F80" w:rsidP="009F3203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Окончено в 2024г.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% от общего кол-ва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3F80" w:rsidRPr="00BF185A" w:rsidRDefault="00163F80" w:rsidP="002F13F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Окончено в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BF185A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% от общего кол-ва</w:t>
            </w:r>
          </w:p>
        </w:tc>
      </w:tr>
      <w:tr w:rsidR="00163F80" w:rsidRPr="00BF185A">
        <w:trPr>
          <w:trHeight w:val="301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3F80" w:rsidRPr="00BF185A" w:rsidRDefault="00163F80" w:rsidP="009209E4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F80" w:rsidRPr="00BF185A" w:rsidRDefault="00163F80" w:rsidP="00543A4C">
            <w:pPr>
              <w:jc w:val="center"/>
              <w:rPr>
                <w:b/>
                <w:bCs/>
              </w:rPr>
            </w:pPr>
            <w:r w:rsidRPr="00BF185A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163F80" w:rsidRPr="00BF185A">
        <w:trPr>
          <w:trHeight w:val="323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Убийство без смягчающих обстоятельств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3F80" w:rsidRPr="000B1686" w:rsidRDefault="00163F80" w:rsidP="00124A08">
            <w:pPr>
              <w:jc w:val="center"/>
            </w:pPr>
            <w:r w:rsidRPr="000B1686">
              <w:t>67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0,8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69</w:t>
            </w:r>
          </w:p>
        </w:tc>
        <w:tc>
          <w:tcPr>
            <w:tcW w:w="936" w:type="dxa"/>
            <w:tcBorders>
              <w:top w:val="single" w:sz="12" w:space="0" w:color="auto"/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0,9</w:t>
            </w:r>
          </w:p>
        </w:tc>
      </w:tr>
      <w:tr w:rsidR="00163F80" w:rsidRPr="009F3203">
        <w:trPr>
          <w:trHeight w:val="413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9F3203" w:rsidRDefault="00163F80" w:rsidP="00775464">
            <w:r w:rsidRPr="009F3203">
              <w:t>2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Иные посягательства на жизнь человека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</w:rPr>
            </w:pPr>
            <w:r w:rsidRPr="000B1686">
              <w:rPr>
                <w:b/>
                <w:bCs/>
              </w:rPr>
              <w:t>106-110.2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26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</w:rPr>
              <w:t>0,3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26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r w:rsidRPr="000B1686">
              <w:rPr>
                <w:lang w:val="en-US"/>
              </w:rPr>
              <w:t>0,3</w:t>
            </w:r>
          </w:p>
        </w:tc>
      </w:tr>
      <w:tr w:rsidR="00163F80" w:rsidRPr="00BF185A">
        <w:trPr>
          <w:trHeight w:val="419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3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Умышленное причинение тяжкого либо средней тяжести вреда здоровью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111, 112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124A08">
            <w:pPr>
              <w:jc w:val="center"/>
            </w:pPr>
            <w:r w:rsidRPr="000B1686">
              <w:t>191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2,3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171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2,1</w:t>
            </w:r>
          </w:p>
        </w:tc>
      </w:tr>
      <w:tr w:rsidR="00163F80" w:rsidRPr="00BF185A">
        <w:trPr>
          <w:trHeight w:val="55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4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Иное причинение тяжкого либо средней тяжести вреда здоровью и истязания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113, 114,</w:t>
            </w:r>
          </w:p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117, 118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7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0,1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7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</w:t>
            </w:r>
            <w:r w:rsidRPr="000B1686">
              <w:t>09</w:t>
            </w:r>
          </w:p>
        </w:tc>
      </w:tr>
      <w:tr w:rsidR="00163F80" w:rsidRPr="00BF185A">
        <w:trPr>
          <w:trHeight w:val="279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5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Изнасилование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124A08">
            <w:pPr>
              <w:jc w:val="center"/>
            </w:pPr>
            <w:r w:rsidRPr="000B1686">
              <w:t>15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0,2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19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0,2</w:t>
            </w:r>
          </w:p>
        </w:tc>
      </w:tr>
      <w:tr w:rsidR="00163F80" w:rsidRPr="00BF185A">
        <w:trPr>
          <w:trHeight w:val="94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6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Иные посягательства против половой неприкосновенности и половой свободы личности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132-135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93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</w:p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1,1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r w:rsidRPr="000B1686">
              <w:t>84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1,0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7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Кража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751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9,1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812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10,0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54294B">
            <w:r w:rsidRPr="00BF185A">
              <w:t>8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54294B">
            <w:r w:rsidRPr="000B1686">
              <w:t>Мелкое хищение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54294B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158.1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54294B">
            <w:pPr>
              <w:jc w:val="center"/>
            </w:pPr>
            <w:r w:rsidRPr="000B1686"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0,0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1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0,01</w:t>
            </w:r>
          </w:p>
        </w:tc>
      </w:tr>
      <w:tr w:rsidR="00163F80" w:rsidRPr="001C10E6">
        <w:trPr>
          <w:trHeight w:val="47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9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Мошенничество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159, 159.1-159.6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124A08">
            <w:pPr>
              <w:jc w:val="center"/>
            </w:pPr>
            <w:r w:rsidRPr="000B1686">
              <w:t>1 325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16,0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1 150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14,2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10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Присвоение или растрата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124A08">
            <w:pPr>
              <w:jc w:val="center"/>
            </w:pPr>
            <w:r w:rsidRPr="000B1686">
              <w:t xml:space="preserve">80 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</w:rPr>
              <w:t>1,0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85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r w:rsidRPr="000B1686">
              <w:rPr>
                <w:lang w:val="en-US"/>
              </w:rPr>
              <w:t>1,</w:t>
            </w:r>
            <w:r w:rsidRPr="000B1686">
              <w:t>05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11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Грабеж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38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0,5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47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0,6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12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Разбой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124A08">
            <w:pPr>
              <w:jc w:val="center"/>
            </w:pPr>
            <w:r w:rsidRPr="000B1686">
              <w:t>18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0,2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16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0,2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13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Вымогательство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124A08">
            <w:pPr>
              <w:jc w:val="center"/>
            </w:pPr>
            <w:r w:rsidRPr="000B1686">
              <w:t>28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0,3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26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0,3</w:t>
            </w:r>
          </w:p>
        </w:tc>
      </w:tr>
      <w:tr w:rsidR="00163F80" w:rsidRPr="00BF185A">
        <w:trPr>
          <w:trHeight w:val="401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14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Неправомерное завладение транспортным средством без цели хищения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70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0,8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65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0,8</w:t>
            </w:r>
          </w:p>
        </w:tc>
      </w:tr>
      <w:tr w:rsidR="00163F80" w:rsidRPr="00BF185A">
        <w:trPr>
          <w:trHeight w:val="409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15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Преступления в сфере экономики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169-200.6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168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2,0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197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2,4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16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Коммерческий подкуп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0,0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0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17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Террористический акт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0,0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0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</w:t>
            </w:r>
          </w:p>
        </w:tc>
      </w:tr>
      <w:tr w:rsidR="00163F80" w:rsidRPr="00BF185A">
        <w:trPr>
          <w:trHeight w:val="1039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18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 xml:space="preserve">Содействие террористической деятельности, публичные призывы к осуществлению террористической деятельности, захват заложника 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205.1-205.6, 206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33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</w:p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0,4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r w:rsidRPr="000B1686">
              <w:t>16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0,2</w:t>
            </w:r>
          </w:p>
        </w:tc>
      </w:tr>
      <w:tr w:rsidR="00163F80" w:rsidRPr="00BF185A">
        <w:trPr>
          <w:trHeight w:val="630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19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Заведомо ложное сообщение об акте терроризма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13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</w:p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0,2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r w:rsidRPr="000B1686">
              <w:t>6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0,1</w:t>
            </w:r>
          </w:p>
        </w:tc>
      </w:tr>
      <w:tr w:rsidR="00163F80" w:rsidRPr="00BF185A">
        <w:trPr>
          <w:trHeight w:val="741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20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Бандитизм, организация незаконных формирований, банд и преступных организаций или участие в них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208-210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15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</w:p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</w:rPr>
              <w:t>0,2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r w:rsidRPr="000B1686">
              <w:t>20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r w:rsidRPr="000B1686">
              <w:rPr>
                <w:lang w:val="en-US"/>
              </w:rPr>
              <w:t>0,2</w:t>
            </w:r>
            <w:r w:rsidRPr="000B1686">
              <w:t>5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21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Хулиганство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045B0C">
            <w:pPr>
              <w:jc w:val="center"/>
            </w:pPr>
            <w:r w:rsidRPr="000B1686">
              <w:t>34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0,4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41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0,5</w:t>
            </w:r>
          </w:p>
        </w:tc>
      </w:tr>
      <w:tr w:rsidR="00163F80" w:rsidRPr="00BF185A">
        <w:trPr>
          <w:trHeight w:val="381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22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Незаконные действия с оружием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222-226.1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463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5,6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311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3,8</w:t>
            </w:r>
          </w:p>
        </w:tc>
      </w:tr>
      <w:tr w:rsidR="00163F80" w:rsidRPr="00BF185A">
        <w:trPr>
          <w:trHeight w:val="557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23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Нарушение правил охраны труда и безопасного производства работ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143, 215,</w:t>
            </w:r>
          </w:p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216-219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</w:p>
          <w:p w:rsidR="00163F80" w:rsidRPr="000B1686" w:rsidRDefault="00163F80" w:rsidP="00775464">
            <w:pPr>
              <w:jc w:val="center"/>
            </w:pPr>
            <w:r w:rsidRPr="000B1686">
              <w:t>34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</w:p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</w:rPr>
              <w:t>0,4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r w:rsidRPr="000B1686">
              <w:t>20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r w:rsidRPr="000B1686">
              <w:rPr>
                <w:lang w:val="en-US"/>
              </w:rPr>
              <w:t>0,2</w:t>
            </w:r>
            <w:r w:rsidRPr="000B1686">
              <w:t>5</w:t>
            </w:r>
          </w:p>
        </w:tc>
      </w:tr>
      <w:tr w:rsidR="00163F80" w:rsidRPr="00BF185A">
        <w:trPr>
          <w:trHeight w:val="630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24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Незаконные действия с наркотическими средствами и психотропными веществами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228-234.1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</w:p>
          <w:p w:rsidR="00163F80" w:rsidRPr="000B1686" w:rsidRDefault="00163F80" w:rsidP="00775464">
            <w:pPr>
              <w:jc w:val="center"/>
            </w:pPr>
            <w:r w:rsidRPr="000B1686">
              <w:t>1534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</w:p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18,5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r w:rsidRPr="000B1686">
              <w:t>1616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20,0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25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Экологические преступления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246-262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133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1,6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96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1,2</w:t>
            </w:r>
          </w:p>
        </w:tc>
      </w:tr>
      <w:tr w:rsidR="00163F80" w:rsidRPr="00BF185A">
        <w:trPr>
          <w:trHeight w:val="630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26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Нарушение правил безопасности движения и эксплуатации транспорта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263-271.1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906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11,0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836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10,3</w:t>
            </w:r>
          </w:p>
        </w:tc>
      </w:tr>
      <w:tr w:rsidR="00163F80" w:rsidRPr="00BF185A">
        <w:trPr>
          <w:trHeight w:val="517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27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Преступления экстремистской направленности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280, 280.1,</w:t>
            </w:r>
          </w:p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282-282.3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22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0,3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22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0,3</w:t>
            </w:r>
          </w:p>
        </w:tc>
      </w:tr>
      <w:tr w:rsidR="00163F80" w:rsidRPr="00BF185A">
        <w:trPr>
          <w:trHeight w:val="630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28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Незаконное участие в предпринимательской деятельности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289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0,0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0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29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Получение взятки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045B0C">
            <w:pPr>
              <w:jc w:val="center"/>
            </w:pPr>
            <w:r w:rsidRPr="000B1686">
              <w:t>31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0,4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38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0,5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30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Дача взятки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291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17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0,2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23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0,3</w:t>
            </w:r>
          </w:p>
        </w:tc>
      </w:tr>
      <w:tr w:rsidR="00163F80" w:rsidRPr="00BF185A">
        <w:trPr>
          <w:trHeight w:val="217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31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Мелкое взяточничество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291.2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045B0C">
            <w:pPr>
              <w:jc w:val="center"/>
            </w:pPr>
            <w:r w:rsidRPr="000B1686">
              <w:t>11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0,1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10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0,1</w:t>
            </w:r>
          </w:p>
        </w:tc>
      </w:tr>
      <w:tr w:rsidR="00163F80" w:rsidRPr="00BF185A">
        <w:trPr>
          <w:trHeight w:val="788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32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Другие преступления против интересов службы в органах власти и местного самоуправления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285-288,</w:t>
            </w:r>
          </w:p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291.1, 292-293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045B0C">
            <w:pPr>
              <w:jc w:val="center"/>
            </w:pPr>
            <w:r w:rsidRPr="000B1686">
              <w:t>183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</w:p>
          <w:p w:rsidR="00163F80" w:rsidRPr="000B1686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2,2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t>143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1,8</w:t>
            </w:r>
          </w:p>
        </w:tc>
      </w:tr>
      <w:tr w:rsidR="00163F80" w:rsidRPr="00BF185A">
        <w:trPr>
          <w:trHeight w:val="1061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33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163F80" w:rsidRPr="000B1686" w:rsidRDefault="00163F80" w:rsidP="00775464">
            <w:r w:rsidRPr="000B1686">
              <w:t>Преступления против лиц, осуществляющих правосудие и предварительное расследование, других представителей власти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294-298.1,</w:t>
            </w:r>
          </w:p>
          <w:p w:rsidR="00163F80" w:rsidRPr="000B1686" w:rsidRDefault="00163F80" w:rsidP="00EB6B17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86">
              <w:rPr>
                <w:b/>
                <w:bCs/>
                <w:sz w:val="20"/>
                <w:szCs w:val="20"/>
              </w:rPr>
              <w:t>317-321</w:t>
            </w:r>
          </w:p>
        </w:tc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163F80" w:rsidRPr="000B1686" w:rsidRDefault="00163F80" w:rsidP="00045B0C">
            <w:pPr>
              <w:jc w:val="center"/>
            </w:pPr>
            <w:r w:rsidRPr="000B1686">
              <w:t>105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color w:val="000000"/>
              </w:rPr>
            </w:pPr>
          </w:p>
          <w:p w:rsidR="00163F80" w:rsidRPr="00E90DB9" w:rsidRDefault="00163F80" w:rsidP="00E90DB9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1,</w:t>
            </w:r>
            <w:r>
              <w:rPr>
                <w:color w:val="000000"/>
              </w:rPr>
              <w:t>26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r w:rsidRPr="000B1686">
              <w:t>103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/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1,3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34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noWrap/>
            <w:vAlign w:val="center"/>
          </w:tcPr>
          <w:p w:rsidR="00163F80" w:rsidRPr="000B1686" w:rsidRDefault="00163F80" w:rsidP="00775464">
            <w:r w:rsidRPr="000B1686">
              <w:t>Дела частного обвинения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63F80" w:rsidRPr="000B1686" w:rsidRDefault="00163F80" w:rsidP="00EB6B17">
            <w:pPr>
              <w:jc w:val="center"/>
            </w:pPr>
          </w:p>
        </w:tc>
        <w:tc>
          <w:tcPr>
            <w:tcW w:w="1254" w:type="dxa"/>
            <w:tcBorders>
              <w:left w:val="single" w:sz="12" w:space="0" w:color="auto"/>
            </w:tcBorders>
            <w:noWrap/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163F80" w:rsidRPr="001174DE" w:rsidRDefault="00163F80" w:rsidP="00BF185A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0,0</w:t>
            </w:r>
            <w:r>
              <w:rPr>
                <w:color w:val="000000"/>
              </w:rPr>
              <w:t>4</w:t>
            </w:r>
          </w:p>
        </w:tc>
        <w:tc>
          <w:tcPr>
            <w:tcW w:w="1370" w:type="dxa"/>
            <w:tcBorders>
              <w:left w:val="single" w:sz="12" w:space="0" w:color="auto"/>
            </w:tcBorders>
          </w:tcPr>
          <w:p w:rsidR="00163F80" w:rsidRPr="000B1686" w:rsidRDefault="00163F80" w:rsidP="00BF185A">
            <w:r w:rsidRPr="000B1686">
              <w:t>4</w:t>
            </w:r>
          </w:p>
        </w:tc>
        <w:tc>
          <w:tcPr>
            <w:tcW w:w="936" w:type="dxa"/>
            <w:tcBorders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0,05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3F80" w:rsidRPr="00BF185A" w:rsidRDefault="00163F80" w:rsidP="00775464">
            <w:r w:rsidRPr="00BF185A">
              <w:t>35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63F80" w:rsidRPr="000B1686" w:rsidRDefault="00163F80" w:rsidP="00775464">
            <w:r w:rsidRPr="000B1686">
              <w:t>Прочие преступления</w:t>
            </w:r>
          </w:p>
        </w:tc>
        <w:tc>
          <w:tcPr>
            <w:tcW w:w="11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63F80" w:rsidRPr="000B1686" w:rsidRDefault="00163F80" w:rsidP="00EB6B17">
            <w:pPr>
              <w:jc w:val="center"/>
            </w:pPr>
          </w:p>
        </w:tc>
        <w:tc>
          <w:tcPr>
            <w:tcW w:w="125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163F80" w:rsidRPr="000B1686" w:rsidRDefault="00163F80" w:rsidP="00775464">
            <w:pPr>
              <w:jc w:val="center"/>
            </w:pPr>
            <w:r w:rsidRPr="000B1686">
              <w:t>1856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163F80" w:rsidRPr="001174DE" w:rsidRDefault="00163F80" w:rsidP="001174DE">
            <w:pPr>
              <w:rPr>
                <w:color w:val="000000"/>
              </w:rPr>
            </w:pPr>
            <w:r w:rsidRPr="000B1686">
              <w:rPr>
                <w:color w:val="000000"/>
                <w:lang w:val="en-US"/>
              </w:rPr>
              <w:t>22,</w:t>
            </w:r>
            <w:r>
              <w:rPr>
                <w:color w:val="000000"/>
              </w:rPr>
              <w:t>5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12" w:space="0" w:color="auto"/>
            </w:tcBorders>
          </w:tcPr>
          <w:p w:rsidR="00163F80" w:rsidRPr="000B1686" w:rsidRDefault="00163F80" w:rsidP="00BF185A">
            <w:r w:rsidRPr="000B1686">
              <w:t>2014</w:t>
            </w:r>
          </w:p>
        </w:tc>
        <w:tc>
          <w:tcPr>
            <w:tcW w:w="936" w:type="dxa"/>
            <w:tcBorders>
              <w:bottom w:val="single" w:sz="12" w:space="0" w:color="auto"/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lang w:val="en-US"/>
              </w:rPr>
            </w:pPr>
            <w:r w:rsidRPr="000B1686">
              <w:rPr>
                <w:lang w:val="en-US"/>
              </w:rPr>
              <w:t>24,9</w:t>
            </w:r>
          </w:p>
        </w:tc>
      </w:tr>
      <w:tr w:rsidR="00163F80" w:rsidRPr="00BF185A">
        <w:trPr>
          <w:trHeight w:val="315"/>
          <w:jc w:val="center"/>
        </w:trPr>
        <w:tc>
          <w:tcPr>
            <w:tcW w:w="63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F80" w:rsidRPr="000B1686" w:rsidRDefault="00163F80" w:rsidP="009209E4">
            <w:pPr>
              <w:jc w:val="right"/>
              <w:rPr>
                <w:b/>
                <w:bCs/>
              </w:rPr>
            </w:pPr>
            <w:r w:rsidRPr="000B1686">
              <w:rPr>
                <w:b/>
                <w:bCs/>
              </w:rPr>
              <w:t>Итого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163F80" w:rsidRPr="000B1686" w:rsidRDefault="00163F80" w:rsidP="00773C04">
            <w:pPr>
              <w:jc w:val="center"/>
              <w:rPr>
                <w:b/>
                <w:bCs/>
              </w:rPr>
            </w:pPr>
            <w:r w:rsidRPr="000B1686">
              <w:rPr>
                <w:b/>
                <w:bCs/>
              </w:rPr>
              <w:t>8270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b/>
                <w:bCs/>
              </w:rPr>
            </w:pPr>
            <w:r w:rsidRPr="000B1686">
              <w:rPr>
                <w:b/>
                <w:bCs/>
              </w:rPr>
              <w:t>100</w:t>
            </w:r>
            <w:r w:rsidRPr="000B1686">
              <w:rPr>
                <w:b/>
                <w:bCs/>
                <w:lang w:val="en-US"/>
              </w:rPr>
              <w:t>,00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3F80" w:rsidRPr="000B1686" w:rsidRDefault="00163F80" w:rsidP="00BF185A">
            <w:pPr>
              <w:rPr>
                <w:b/>
                <w:bCs/>
              </w:rPr>
            </w:pPr>
            <w:r w:rsidRPr="000B1686">
              <w:rPr>
                <w:b/>
                <w:bCs/>
              </w:rPr>
              <w:t>8094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F80" w:rsidRPr="000B1686" w:rsidRDefault="00163F80" w:rsidP="00BF185A">
            <w:pPr>
              <w:rPr>
                <w:b/>
                <w:bCs/>
              </w:rPr>
            </w:pPr>
            <w:r w:rsidRPr="000B1686">
              <w:rPr>
                <w:b/>
                <w:bCs/>
              </w:rPr>
              <w:t>100</w:t>
            </w:r>
            <w:r w:rsidRPr="000B1686">
              <w:rPr>
                <w:b/>
                <w:bCs/>
                <w:lang w:val="en-US"/>
              </w:rPr>
              <w:t>,0</w:t>
            </w:r>
          </w:p>
        </w:tc>
      </w:tr>
      <w:bookmarkEnd w:id="2"/>
    </w:tbl>
    <w:p w:rsidR="00163F80" w:rsidRPr="00BF185A" w:rsidRDefault="00163F80" w:rsidP="00F67D08">
      <w:pPr>
        <w:pStyle w:val="NormalWeb"/>
        <w:spacing w:before="0" w:beforeAutospacing="0" w:after="0" w:afterAutospacing="0"/>
        <w:ind w:firstLine="709"/>
        <w:jc w:val="both"/>
        <w:rPr>
          <w:noProof/>
          <w:sz w:val="14"/>
          <w:szCs w:val="14"/>
        </w:rPr>
      </w:pPr>
    </w:p>
    <w:p w:rsidR="00163F80" w:rsidRPr="00134FC0" w:rsidRDefault="00163F80" w:rsidP="00B059C7">
      <w:pPr>
        <w:pStyle w:val="NormalWeb"/>
        <w:spacing w:before="0" w:beforeAutospacing="0" w:after="0" w:afterAutospacing="0"/>
        <w:ind w:firstLine="709"/>
        <w:jc w:val="both"/>
        <w:rPr>
          <w:b/>
          <w:bCs/>
          <w:noProof/>
          <w:sz w:val="28"/>
          <w:szCs w:val="28"/>
        </w:rPr>
      </w:pPr>
      <w:r w:rsidRPr="00196E89">
        <w:rPr>
          <w:noProof/>
          <w:sz w:val="28"/>
          <w:szCs w:val="28"/>
        </w:rPr>
        <w:t xml:space="preserve">Дела по преступлениям, предусмотренным статьями 158-166 УК РФ (преступления против собственности) составляют 27,9%; </w:t>
      </w:r>
      <w:r w:rsidRPr="00580210">
        <w:rPr>
          <w:noProof/>
          <w:sz w:val="28"/>
          <w:szCs w:val="28"/>
        </w:rPr>
        <w:t xml:space="preserve">статьями 228-234.1 УК РФ (незаконные действия с наркотическими средствами и психотропными веществами) – </w:t>
      </w:r>
      <w:r w:rsidRPr="00580210">
        <w:rPr>
          <w:sz w:val="28"/>
          <w:szCs w:val="28"/>
        </w:rPr>
        <w:t>18,5</w:t>
      </w:r>
      <w:r w:rsidRPr="00580210">
        <w:rPr>
          <w:noProof/>
          <w:sz w:val="28"/>
          <w:szCs w:val="28"/>
        </w:rPr>
        <w:t xml:space="preserve">%; статьями 263-271.1 УК РФ (нарушение правил безопасности движения и эксплуатации транспорта) – 10,9%; статьями 205-210, 213, 222-226.1 УК РФ (преступления против общественной безопасности) – 6,7%; статьями 105, 106-110.2, 111-114, 117,118 УК РФ (преступления против жизни </w:t>
      </w:r>
      <w:r>
        <w:rPr>
          <w:noProof/>
          <w:sz w:val="28"/>
          <w:szCs w:val="28"/>
        </w:rPr>
        <w:br/>
      </w:r>
      <w:r w:rsidRPr="00580210">
        <w:rPr>
          <w:noProof/>
          <w:sz w:val="28"/>
          <w:szCs w:val="28"/>
        </w:rPr>
        <w:t xml:space="preserve">и здоровья) – 3,5%; статьями 169-200.6 УК РФ (преступления в сфере экономики) – 2,4%; </w:t>
      </w:r>
      <w:r w:rsidRPr="002F13FC">
        <w:rPr>
          <w:noProof/>
          <w:sz w:val="28"/>
          <w:szCs w:val="28"/>
        </w:rPr>
        <w:t xml:space="preserve">статьями 131-135 УК РФ (преступления против половой неприкосновенности и половой свободы личности) – 1,3%; </w:t>
      </w:r>
      <w:r w:rsidRPr="00580210">
        <w:rPr>
          <w:noProof/>
          <w:sz w:val="28"/>
          <w:szCs w:val="28"/>
        </w:rPr>
        <w:t xml:space="preserve">статьями 285-293 УК РФ (преступления против государственной власти, интересов государственной </w:t>
      </w:r>
      <w:r w:rsidRPr="002F13FC">
        <w:rPr>
          <w:noProof/>
          <w:sz w:val="28"/>
          <w:szCs w:val="28"/>
        </w:rPr>
        <w:t>службы и службы в органах местного самоуправления) – 2,2%; статьями 294-298.1, 317-321 УК РФ (преступления против лиц, осуществляющих правосудие и предварительное расследование, других представителей власти) – 1</w:t>
      </w:r>
      <w:r>
        <w:rPr>
          <w:noProof/>
          <w:sz w:val="28"/>
          <w:szCs w:val="28"/>
        </w:rPr>
        <w:t>,26</w:t>
      </w:r>
      <w:r w:rsidRPr="002F13FC">
        <w:rPr>
          <w:noProof/>
          <w:sz w:val="28"/>
          <w:szCs w:val="28"/>
        </w:rPr>
        <w:t xml:space="preserve">%; статьями 246-262 УК РФ (экологические преступления) – 1,6%; статьями 290, 291, 291.2 УК РФ (преступления коррупционной направленности) – 0,7%; статьями 280, 280.1, 282-282.4 УК РФ (преступления экстремистской направленности) – 0,3%; статьями 143, 215, 216-219 УК РФ (нарушение правил охраны труда и безопасности производства работ) </w:t>
      </w:r>
      <w:r w:rsidRPr="00134FC0">
        <w:rPr>
          <w:noProof/>
          <w:sz w:val="28"/>
          <w:szCs w:val="28"/>
        </w:rPr>
        <w:t>– 0,4%; дела частного обвинения – 0,04%, иные дела – 22,</w:t>
      </w:r>
      <w:r>
        <w:rPr>
          <w:noProof/>
          <w:sz w:val="28"/>
          <w:szCs w:val="28"/>
        </w:rPr>
        <w:t>5</w:t>
      </w:r>
      <w:r w:rsidRPr="00134FC0">
        <w:rPr>
          <w:noProof/>
          <w:sz w:val="28"/>
          <w:szCs w:val="28"/>
        </w:rPr>
        <w:t xml:space="preserve">%. </w:t>
      </w:r>
      <w:r w:rsidRPr="00134FC0">
        <w:rPr>
          <w:b/>
          <w:bCs/>
          <w:noProof/>
          <w:sz w:val="28"/>
          <w:szCs w:val="28"/>
        </w:rPr>
        <w:t xml:space="preserve"> </w:t>
      </w:r>
    </w:p>
    <w:p w:rsidR="00163F80" w:rsidRPr="003857A0" w:rsidRDefault="00163F80" w:rsidP="00561C87">
      <w:pPr>
        <w:pStyle w:val="NormalWeb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134FC0">
        <w:rPr>
          <w:noProof/>
          <w:sz w:val="28"/>
          <w:szCs w:val="28"/>
        </w:rPr>
        <w:t>В 2024 году структура оконченных уголовных дел по первой инстанции в сравнении с предыдущим годом изменилась</w:t>
      </w:r>
      <w:r>
        <w:rPr>
          <w:noProof/>
          <w:sz w:val="28"/>
          <w:szCs w:val="28"/>
        </w:rPr>
        <w:t xml:space="preserve"> следующим образом</w:t>
      </w:r>
      <w:r w:rsidRPr="00134FC0">
        <w:rPr>
          <w:noProof/>
          <w:sz w:val="28"/>
          <w:szCs w:val="28"/>
        </w:rPr>
        <w:t xml:space="preserve">. </w:t>
      </w:r>
      <w:r w:rsidRPr="003857A0">
        <w:rPr>
          <w:noProof/>
          <w:sz w:val="28"/>
          <w:szCs w:val="28"/>
        </w:rPr>
        <w:t xml:space="preserve">По ряду категорий наблюдается увеличение количества рассмотренных дел: в 2,2 раза (с 6 до 13) увеличилось количество дел по преступлениям, предусмотренным статьей 207 УК РФ (заведомо ложное сообщение об акте терроризма); в 2,1 раза (с 16 до 33) увеличилось количество дел по преступлениям, предусмотренными статьями </w:t>
      </w:r>
      <w:r w:rsidRPr="003857A0">
        <w:rPr>
          <w:sz w:val="28"/>
          <w:szCs w:val="28"/>
        </w:rPr>
        <w:t>205.1-205.6, 206</w:t>
      </w:r>
      <w:r w:rsidRPr="003857A0">
        <w:rPr>
          <w:noProof/>
          <w:sz w:val="28"/>
          <w:szCs w:val="28"/>
        </w:rPr>
        <w:t xml:space="preserve"> УК РФ (</w:t>
      </w:r>
      <w:r w:rsidRPr="003857A0">
        <w:rPr>
          <w:sz w:val="28"/>
          <w:szCs w:val="28"/>
        </w:rPr>
        <w:t>содействие террористической деятельности, публичные призывы к осуществлению террористической деятельности, захват заложника</w:t>
      </w:r>
      <w:r w:rsidRPr="003857A0">
        <w:rPr>
          <w:noProof/>
          <w:sz w:val="28"/>
          <w:szCs w:val="28"/>
        </w:rPr>
        <w:t xml:space="preserve">); </w:t>
      </w:r>
      <w:r>
        <w:rPr>
          <w:noProof/>
          <w:sz w:val="28"/>
          <w:szCs w:val="28"/>
        </w:rPr>
        <w:br/>
      </w:r>
      <w:r w:rsidRPr="003857A0">
        <w:rPr>
          <w:noProof/>
          <w:sz w:val="28"/>
          <w:szCs w:val="28"/>
        </w:rPr>
        <w:t>на 70,0% (с 20 до 34) увеличилось количество дел по преступлениям, предусмотренным статьями 143, 215, 216-219 УК РФ (нарушение правил охраны труда и безопасного производства работ); на 48,9% (с 311 до 463) увеличилось количество дел по преступлениям, предусмотренным статьями 222-226.1 УК РФ (незаконные действия с оружием); на 38,5% (с 96 до 133) увеличилось количество рассмотренных дел по преступлениям, предусмотренным статьями 246-262 УК РФ (экологические преступления); на 28,0 % (с 143 до 183) увеличилось количество рассмотренных дел, предусмотренных статьями 285-288, 291.1, 292-293 УК РФ (преступления против интересов службы в органах власти и местного самоуправления);</w:t>
      </w:r>
      <w:r>
        <w:rPr>
          <w:noProof/>
          <w:sz w:val="28"/>
          <w:szCs w:val="28"/>
        </w:rPr>
        <w:t xml:space="preserve"> </w:t>
      </w:r>
      <w:r w:rsidRPr="003857A0">
        <w:rPr>
          <w:noProof/>
          <w:sz w:val="28"/>
          <w:szCs w:val="28"/>
        </w:rPr>
        <w:t>на 15,2% (с 1</w:t>
      </w:r>
      <w:r>
        <w:rPr>
          <w:noProof/>
          <w:sz w:val="28"/>
          <w:szCs w:val="28"/>
        </w:rPr>
        <w:t> </w:t>
      </w:r>
      <w:r w:rsidRPr="003857A0">
        <w:rPr>
          <w:noProof/>
          <w:sz w:val="28"/>
          <w:szCs w:val="28"/>
        </w:rPr>
        <w:t xml:space="preserve">150 до 1325) увеличилось количество дел по преступлениям, предусмотренным статьями 159,159.1-159.6 УК РФ (мошенничество); на 12,5% (с 16 до 18) уменьшилось количество рассмотренных дел по преступлениям, предусмотренным статьей 162 УК РФ (разбой); на 11,7% </w:t>
      </w:r>
      <w:r>
        <w:rPr>
          <w:noProof/>
          <w:sz w:val="28"/>
          <w:szCs w:val="28"/>
        </w:rPr>
        <w:br/>
      </w:r>
      <w:r w:rsidRPr="003857A0">
        <w:rPr>
          <w:noProof/>
          <w:sz w:val="28"/>
          <w:szCs w:val="28"/>
        </w:rPr>
        <w:t>(с 171 до 191) увеличилось количество дел по преступлениям, предусмотренным статьями 111,112 УК РФ (</w:t>
      </w:r>
      <w:r w:rsidRPr="003857A0">
        <w:rPr>
          <w:sz w:val="28"/>
          <w:szCs w:val="28"/>
        </w:rPr>
        <w:t>умышленное причинение тяжкого либо средней тяжести вреда здоровью</w:t>
      </w:r>
      <w:r w:rsidRPr="003857A0">
        <w:rPr>
          <w:noProof/>
          <w:sz w:val="28"/>
          <w:szCs w:val="28"/>
        </w:rPr>
        <w:t xml:space="preserve">); на 10,7% (с 84 до 93) увеличилось количество дел </w:t>
      </w:r>
      <w:r>
        <w:rPr>
          <w:noProof/>
          <w:sz w:val="28"/>
          <w:szCs w:val="28"/>
        </w:rPr>
        <w:br/>
      </w:r>
      <w:r w:rsidRPr="003857A0">
        <w:rPr>
          <w:noProof/>
          <w:sz w:val="28"/>
          <w:szCs w:val="28"/>
        </w:rPr>
        <w:t xml:space="preserve">по преступлениям, предусмотренным статьями 132-135 УК РФ (иные посягательства против половой неприкосновенности и половой свободы личности; на 10,0% (с 10 до 11) увеличилось количество рассмотренных дел по преступлениям, предусмотренным статьей 291.2 УК РФ (мелкое взяточничество); на 8,4% (с 836 до 906) увеличилось количество рассмотренных дел </w:t>
      </w:r>
      <w:r>
        <w:rPr>
          <w:noProof/>
          <w:sz w:val="28"/>
          <w:szCs w:val="28"/>
        </w:rPr>
        <w:br/>
      </w:r>
      <w:r w:rsidRPr="003857A0">
        <w:rPr>
          <w:noProof/>
          <w:sz w:val="28"/>
          <w:szCs w:val="28"/>
        </w:rPr>
        <w:t xml:space="preserve">по преступлениям, предусмотренным статьями 263-271.1 УК РФ (нарушение правил безопасности движения и эксплуатации транспорта); на 7,7% (с 65 до 70) увеличилось количество дел по преступлениям, предусмотренным статьей 166 </w:t>
      </w:r>
      <w:r>
        <w:rPr>
          <w:noProof/>
          <w:sz w:val="28"/>
          <w:szCs w:val="28"/>
        </w:rPr>
        <w:br/>
      </w:r>
      <w:r w:rsidRPr="003857A0">
        <w:rPr>
          <w:noProof/>
          <w:sz w:val="28"/>
          <w:szCs w:val="28"/>
        </w:rPr>
        <w:t>УК РФ (неправомерное завладение транспортным средством без цели хищения)</w:t>
      </w:r>
      <w:r>
        <w:rPr>
          <w:noProof/>
          <w:sz w:val="28"/>
          <w:szCs w:val="28"/>
        </w:rPr>
        <w:t>;</w:t>
      </w:r>
      <w:r w:rsidRPr="003857A0">
        <w:rPr>
          <w:noProof/>
          <w:sz w:val="28"/>
          <w:szCs w:val="28"/>
        </w:rPr>
        <w:t xml:space="preserve"> на 7,7% (с 26 до 28) увеличилось количество дел по преступлениям, предусмотренным статьей 163 УК РФ (вымогательство); на 1,9% (с 103 до 105) увеличилось количество дел по преступлениям, предусмотренным статьями 294-298.1, 317-321 УК РФ</w:t>
      </w:r>
      <w:r>
        <w:rPr>
          <w:noProof/>
          <w:sz w:val="28"/>
          <w:szCs w:val="28"/>
        </w:rPr>
        <w:t xml:space="preserve"> </w:t>
      </w:r>
      <w:r w:rsidRPr="003857A0">
        <w:rPr>
          <w:noProof/>
          <w:sz w:val="28"/>
          <w:szCs w:val="28"/>
        </w:rPr>
        <w:t xml:space="preserve">(преступления против лиц, осуществляющих правосудие </w:t>
      </w:r>
      <w:r>
        <w:rPr>
          <w:noProof/>
          <w:sz w:val="28"/>
          <w:szCs w:val="28"/>
        </w:rPr>
        <w:br/>
      </w:r>
      <w:r w:rsidRPr="003857A0">
        <w:rPr>
          <w:noProof/>
          <w:sz w:val="28"/>
          <w:szCs w:val="28"/>
        </w:rPr>
        <w:t>и предварительное расследование, других представителей власти).</w:t>
      </w:r>
    </w:p>
    <w:p w:rsidR="00163F80" w:rsidRPr="0026658C" w:rsidRDefault="00163F80" w:rsidP="009734D2">
      <w:pPr>
        <w:pStyle w:val="NormalWeb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000B5D">
        <w:rPr>
          <w:noProof/>
          <w:sz w:val="28"/>
          <w:szCs w:val="28"/>
        </w:rPr>
        <w:t xml:space="preserve">В истекшем году имело место уменьшение количества рассмотренных дел </w:t>
      </w:r>
      <w:r>
        <w:rPr>
          <w:noProof/>
          <w:sz w:val="28"/>
          <w:szCs w:val="28"/>
        </w:rPr>
        <w:br/>
      </w:r>
      <w:r w:rsidRPr="00000B5D">
        <w:rPr>
          <w:noProof/>
          <w:sz w:val="28"/>
          <w:szCs w:val="28"/>
        </w:rPr>
        <w:t xml:space="preserve">по отдельным категориям. Например, </w:t>
      </w:r>
      <w:r w:rsidRPr="002514E9">
        <w:rPr>
          <w:noProof/>
          <w:sz w:val="28"/>
          <w:szCs w:val="28"/>
        </w:rPr>
        <w:t xml:space="preserve">на 26,1% (с 23 до 17) уменьшилось количество дел по преступлениям, предусмотренным статьей 291 УК РФ (дача взятки); на 25,0% (с 20 до 15) уменьшилось количество дел по преступлениям, предусмотренным статьями 208-210 УК РФ (бандитизм, организация незаконных формирований, банд и преступных организаций и участие в них); на 21,1% </w:t>
      </w:r>
      <w:r>
        <w:rPr>
          <w:noProof/>
          <w:sz w:val="28"/>
          <w:szCs w:val="28"/>
        </w:rPr>
        <w:br/>
      </w:r>
      <w:r w:rsidRPr="002514E9">
        <w:rPr>
          <w:noProof/>
          <w:sz w:val="28"/>
          <w:szCs w:val="28"/>
        </w:rPr>
        <w:t xml:space="preserve">(с 19 до 15) уменьшилось количество рассмотренных дел по преступлениям, предусмотренным статьей 131 УК РФ (изнасилование); на 18,4% (с 38 до 31) уменьшилось количество дел по преступлениям, предусмотренным статьей 290 УК РФ (получение взятки); на 19,1% (с 47 до 38) уменьшилось количество дел </w:t>
      </w:r>
      <w:r>
        <w:rPr>
          <w:noProof/>
          <w:sz w:val="28"/>
          <w:szCs w:val="28"/>
        </w:rPr>
        <w:br/>
      </w:r>
      <w:r w:rsidRPr="002514E9">
        <w:rPr>
          <w:noProof/>
          <w:sz w:val="28"/>
          <w:szCs w:val="28"/>
        </w:rPr>
        <w:t>по преступлениям, предусмотренным статьей 161 УК РФ (грабеж); на 17,1% (с 41 до 34) уменьшилось количество дел по преступлениям, предусмотренным статьей 213 УК РФ (хулиганство); на 14,7% (с 197 до 168) уменьшилось количество дел по преступлениям, предусмотренным статьями 169-200.6 УК РФ (преступления в сфере экономики); на 7,5% (с 812 до 751) уменьшилось количество дел по преступлениям, предусмотренным статьей 158 УК РФ (кража); на 5,9% (с 85 до 80) уменьшилось количество дел по преступлениям, предусмотренным статьей 160 УК РФ (присвоение или растрата); на 5,1% (с</w:t>
      </w:r>
      <w:r>
        <w:rPr>
          <w:noProof/>
          <w:sz w:val="28"/>
          <w:szCs w:val="28"/>
        </w:rPr>
        <w:t xml:space="preserve"> </w:t>
      </w:r>
      <w:r w:rsidRPr="002514E9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 </w:t>
      </w:r>
      <w:r w:rsidRPr="002514E9">
        <w:rPr>
          <w:noProof/>
          <w:sz w:val="28"/>
          <w:szCs w:val="28"/>
        </w:rPr>
        <w:t>616</w:t>
      </w:r>
      <w:r>
        <w:rPr>
          <w:noProof/>
          <w:sz w:val="28"/>
          <w:szCs w:val="28"/>
        </w:rPr>
        <w:t xml:space="preserve"> </w:t>
      </w:r>
      <w:r w:rsidRPr="002514E9">
        <w:rPr>
          <w:noProof/>
          <w:sz w:val="28"/>
          <w:szCs w:val="28"/>
        </w:rPr>
        <w:t>до 1</w:t>
      </w:r>
      <w:r>
        <w:rPr>
          <w:noProof/>
          <w:sz w:val="28"/>
          <w:szCs w:val="28"/>
        </w:rPr>
        <w:t> </w:t>
      </w:r>
      <w:r w:rsidRPr="002514E9">
        <w:rPr>
          <w:noProof/>
          <w:sz w:val="28"/>
          <w:szCs w:val="28"/>
        </w:rPr>
        <w:t xml:space="preserve">534) уменьшилось количество дел по преступлениям, предусмотренным статьей 228 – 234.1 УК РФ (незаконные средства с наркотическими средствами и психотропными веществами); на 2,9% (с 69 до 67) уменьшилось количество дел по </w:t>
      </w:r>
      <w:r w:rsidRPr="0026658C">
        <w:rPr>
          <w:noProof/>
          <w:sz w:val="28"/>
          <w:szCs w:val="28"/>
        </w:rPr>
        <w:t>преступлениям, предусмотренн</w:t>
      </w:r>
      <w:r>
        <w:rPr>
          <w:noProof/>
          <w:sz w:val="28"/>
          <w:szCs w:val="28"/>
        </w:rPr>
        <w:t>ым статьей 105 УК РФ (убийство).</w:t>
      </w:r>
      <w:r w:rsidRPr="0026658C">
        <w:rPr>
          <w:noProof/>
          <w:sz w:val="28"/>
          <w:szCs w:val="28"/>
        </w:rPr>
        <w:t xml:space="preserve"> </w:t>
      </w:r>
    </w:p>
    <w:p w:rsidR="00163F80" w:rsidRPr="00E50D8B" w:rsidRDefault="00163F80" w:rsidP="009734D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  <w:r w:rsidRPr="0026658C">
        <w:rPr>
          <w:sz w:val="28"/>
          <w:szCs w:val="28"/>
        </w:rPr>
        <w:t>В 2024 году было осуждено 7 042 лиц</w:t>
      </w:r>
      <w:r>
        <w:rPr>
          <w:sz w:val="28"/>
          <w:szCs w:val="28"/>
        </w:rPr>
        <w:t>а</w:t>
      </w:r>
      <w:r w:rsidRPr="0026658C">
        <w:rPr>
          <w:sz w:val="28"/>
          <w:szCs w:val="28"/>
        </w:rPr>
        <w:t xml:space="preserve">, что на 4,2% больше, чем в 2023 году (6 756), из них 120 несовершеннолетних лица или 1,7% (2023 году </w:t>
      </w:r>
      <w:r>
        <w:rPr>
          <w:sz w:val="28"/>
          <w:szCs w:val="28"/>
        </w:rPr>
        <w:t>–</w:t>
      </w:r>
      <w:r w:rsidRPr="0026658C">
        <w:rPr>
          <w:sz w:val="28"/>
          <w:szCs w:val="28"/>
        </w:rPr>
        <w:t xml:space="preserve"> 92 лица или 1,4%, в 2022 году – 106 лиц или 1,6%), </w:t>
      </w:r>
      <w:r w:rsidRPr="004255EF">
        <w:rPr>
          <w:sz w:val="28"/>
          <w:szCs w:val="28"/>
        </w:rPr>
        <w:t xml:space="preserve">973 лица женского пола или 13,8% (в 2023 году – 862 или 12,8%; в 2022 году – 764 или 11,4%), 1 322 ранее судимых </w:t>
      </w:r>
      <w:r>
        <w:rPr>
          <w:sz w:val="28"/>
          <w:szCs w:val="28"/>
        </w:rPr>
        <w:t>лиц</w:t>
      </w:r>
      <w:r w:rsidRPr="004255EF">
        <w:rPr>
          <w:sz w:val="28"/>
          <w:szCs w:val="28"/>
        </w:rPr>
        <w:t xml:space="preserve"> (без учета неснятых и непогашенных судимостей)</w:t>
      </w:r>
      <w:r>
        <w:rPr>
          <w:sz w:val="28"/>
          <w:szCs w:val="28"/>
        </w:rPr>
        <w:t xml:space="preserve"> </w:t>
      </w:r>
      <w:r w:rsidRPr="004255EF">
        <w:rPr>
          <w:sz w:val="28"/>
          <w:szCs w:val="28"/>
        </w:rPr>
        <w:t xml:space="preserve">или 18,8% (в 2023 году – 1 291 или 19,1%; в 2022 году – 1 270 или 18,9%). </w:t>
      </w:r>
    </w:p>
    <w:p w:rsidR="00163F80" w:rsidRPr="0092604F" w:rsidRDefault="00163F80" w:rsidP="00BA7F87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92604F">
        <w:rPr>
          <w:sz w:val="28"/>
          <w:szCs w:val="28"/>
        </w:rPr>
        <w:t xml:space="preserve">Структура назначенных осужденным уголовных наказаний районными (городскими) судами республики практически не изменилась и характеризуется следующим образом: </w:t>
      </w:r>
    </w:p>
    <w:p w:rsidR="00163F80" w:rsidRPr="0092604F" w:rsidRDefault="00163F80" w:rsidP="003F5FD5">
      <w:pPr>
        <w:tabs>
          <w:tab w:val="left" w:pos="851"/>
          <w:tab w:val="center" w:pos="9360"/>
        </w:tabs>
        <w:ind w:firstLine="567"/>
        <w:jc w:val="both"/>
        <w:rPr>
          <w:sz w:val="28"/>
          <w:szCs w:val="28"/>
        </w:rPr>
      </w:pPr>
      <w:r w:rsidRPr="0092604F">
        <w:rPr>
          <w:sz w:val="28"/>
          <w:szCs w:val="28"/>
        </w:rPr>
        <w:t>-</w:t>
      </w:r>
      <w:r w:rsidRPr="0092604F">
        <w:rPr>
          <w:sz w:val="28"/>
          <w:szCs w:val="28"/>
        </w:rPr>
        <w:tab/>
        <w:t xml:space="preserve">число лиц, в отношении которых применен штраф в качестве основного вида наказания, составило 2 447 или 34,7% от общего числа осужденных </w:t>
      </w:r>
      <w:r w:rsidRPr="0092604F">
        <w:rPr>
          <w:sz w:val="28"/>
          <w:szCs w:val="28"/>
        </w:rPr>
        <w:br/>
        <w:t xml:space="preserve">(в 2023 году – 2 506 или 37,1%; в 2022 году – 2 224 лица или 33,1%); </w:t>
      </w:r>
    </w:p>
    <w:p w:rsidR="00163F80" w:rsidRPr="0092604F" w:rsidRDefault="00163F80" w:rsidP="003F5FD5">
      <w:pPr>
        <w:tabs>
          <w:tab w:val="left" w:pos="851"/>
          <w:tab w:val="center" w:pos="9360"/>
        </w:tabs>
        <w:ind w:firstLine="567"/>
        <w:jc w:val="both"/>
        <w:rPr>
          <w:sz w:val="28"/>
          <w:szCs w:val="28"/>
        </w:rPr>
      </w:pPr>
      <w:r w:rsidRPr="00DB473C">
        <w:rPr>
          <w:sz w:val="28"/>
          <w:szCs w:val="28"/>
        </w:rPr>
        <w:t>-</w:t>
      </w:r>
      <w:r w:rsidRPr="0092604F">
        <w:rPr>
          <w:sz w:val="28"/>
          <w:szCs w:val="28"/>
        </w:rPr>
        <w:tab/>
        <w:t xml:space="preserve">число лиц, осужденных к лишению свободы условно, – 1 983 или 28,2% </w:t>
      </w:r>
      <w:r w:rsidRPr="0092604F">
        <w:rPr>
          <w:sz w:val="28"/>
          <w:szCs w:val="28"/>
        </w:rPr>
        <w:br/>
        <w:t xml:space="preserve">от общего числа осужденных (в 2023 году </w:t>
      </w:r>
      <w:r>
        <w:rPr>
          <w:sz w:val="28"/>
          <w:szCs w:val="28"/>
        </w:rPr>
        <w:t>–</w:t>
      </w:r>
      <w:r w:rsidRPr="0092604F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Pr="0092604F">
        <w:rPr>
          <w:sz w:val="28"/>
          <w:szCs w:val="28"/>
        </w:rPr>
        <w:t>802 или 26,7%</w:t>
      </w:r>
      <w:r>
        <w:rPr>
          <w:sz w:val="28"/>
          <w:szCs w:val="28"/>
        </w:rPr>
        <w:t>,</w:t>
      </w:r>
      <w:r w:rsidRPr="0092604F">
        <w:rPr>
          <w:sz w:val="28"/>
          <w:szCs w:val="28"/>
        </w:rPr>
        <w:t xml:space="preserve"> в 2022 году – 1 779 лиц или 26,5%); </w:t>
      </w:r>
    </w:p>
    <w:p w:rsidR="00163F80" w:rsidRPr="00FF1565" w:rsidRDefault="00163F80" w:rsidP="003F5FD5">
      <w:pPr>
        <w:tabs>
          <w:tab w:val="left" w:pos="851"/>
          <w:tab w:val="center" w:pos="9360"/>
        </w:tabs>
        <w:ind w:firstLine="567"/>
        <w:jc w:val="both"/>
        <w:rPr>
          <w:sz w:val="28"/>
          <w:szCs w:val="28"/>
        </w:rPr>
      </w:pPr>
      <w:r w:rsidRPr="00FF1565">
        <w:rPr>
          <w:sz w:val="28"/>
          <w:szCs w:val="28"/>
        </w:rPr>
        <w:t>-</w:t>
      </w:r>
      <w:r w:rsidRPr="00FF1565">
        <w:rPr>
          <w:sz w:val="28"/>
          <w:szCs w:val="28"/>
        </w:rPr>
        <w:tab/>
        <w:t xml:space="preserve">число лиц, осужденных к лишению свободы на определенный срок, – </w:t>
      </w:r>
      <w:r w:rsidRPr="00FF1565">
        <w:rPr>
          <w:sz w:val="28"/>
          <w:szCs w:val="28"/>
        </w:rPr>
        <w:br/>
        <w:t>886 или 12,6% от общего числа осужденных (в 2023 году – 961 или 14,2%;</w:t>
      </w:r>
      <w:r>
        <w:rPr>
          <w:sz w:val="28"/>
          <w:szCs w:val="28"/>
        </w:rPr>
        <w:t xml:space="preserve"> </w:t>
      </w:r>
      <w:r w:rsidRPr="00FF1565">
        <w:rPr>
          <w:sz w:val="28"/>
          <w:szCs w:val="28"/>
        </w:rPr>
        <w:t>в 2022 году – 1 080 лиц или 16,1%);</w:t>
      </w:r>
    </w:p>
    <w:p w:rsidR="00163F80" w:rsidRPr="00FF1565" w:rsidRDefault="00163F80" w:rsidP="003F5FD5">
      <w:pPr>
        <w:tabs>
          <w:tab w:val="left" w:pos="851"/>
          <w:tab w:val="center" w:pos="9360"/>
        </w:tabs>
        <w:ind w:firstLine="567"/>
        <w:jc w:val="both"/>
        <w:rPr>
          <w:sz w:val="28"/>
          <w:szCs w:val="28"/>
        </w:rPr>
      </w:pPr>
      <w:r w:rsidRPr="00FF1565">
        <w:rPr>
          <w:sz w:val="28"/>
          <w:szCs w:val="28"/>
        </w:rPr>
        <w:t>-</w:t>
      </w:r>
      <w:r w:rsidRPr="00FF1565">
        <w:rPr>
          <w:sz w:val="28"/>
          <w:szCs w:val="28"/>
        </w:rPr>
        <w:tab/>
        <w:t>число лиц, осужденных к обязательным работам, – 647 или 9,2%</w:t>
      </w:r>
      <w:r>
        <w:rPr>
          <w:sz w:val="28"/>
          <w:szCs w:val="28"/>
        </w:rPr>
        <w:br/>
      </w:r>
      <w:r w:rsidRPr="00FF1565">
        <w:rPr>
          <w:sz w:val="28"/>
          <w:szCs w:val="28"/>
        </w:rPr>
        <w:t xml:space="preserve">(в 2023 году </w:t>
      </w:r>
      <w:r>
        <w:rPr>
          <w:sz w:val="28"/>
          <w:szCs w:val="28"/>
        </w:rPr>
        <w:t>–</w:t>
      </w:r>
      <w:r w:rsidRPr="00FF1565">
        <w:rPr>
          <w:sz w:val="28"/>
          <w:szCs w:val="28"/>
        </w:rPr>
        <w:t xml:space="preserve"> 597 или 8,8%в 2022 году – 704 лица или 10,5%);</w:t>
      </w:r>
    </w:p>
    <w:p w:rsidR="00163F80" w:rsidRPr="00FF1565" w:rsidRDefault="00163F80" w:rsidP="003F5FD5">
      <w:pPr>
        <w:tabs>
          <w:tab w:val="left" w:pos="851"/>
          <w:tab w:val="center" w:pos="9360"/>
        </w:tabs>
        <w:ind w:firstLine="567"/>
        <w:jc w:val="both"/>
        <w:rPr>
          <w:sz w:val="28"/>
          <w:szCs w:val="28"/>
        </w:rPr>
      </w:pPr>
      <w:r w:rsidRPr="00FF1565">
        <w:rPr>
          <w:sz w:val="28"/>
          <w:szCs w:val="28"/>
        </w:rPr>
        <w:t>-</w:t>
      </w:r>
      <w:r w:rsidRPr="00FF1565">
        <w:rPr>
          <w:sz w:val="28"/>
          <w:szCs w:val="28"/>
        </w:rPr>
        <w:tab/>
        <w:t xml:space="preserve">число лиц, осужденных к исправительным работам, – 309 или 4,4% </w:t>
      </w:r>
      <w:r w:rsidRPr="00FF1565">
        <w:rPr>
          <w:sz w:val="28"/>
          <w:szCs w:val="28"/>
        </w:rPr>
        <w:br/>
        <w:t>(в 2023 году – 270 или 4%</w:t>
      </w:r>
      <w:r>
        <w:rPr>
          <w:sz w:val="28"/>
          <w:szCs w:val="28"/>
        </w:rPr>
        <w:t>,</w:t>
      </w:r>
      <w:r w:rsidRPr="00FF1565">
        <w:rPr>
          <w:sz w:val="28"/>
          <w:szCs w:val="28"/>
        </w:rPr>
        <w:t xml:space="preserve"> в 2022 году – 306 лиц или 4,6%);</w:t>
      </w:r>
    </w:p>
    <w:p w:rsidR="00163F80" w:rsidRPr="00FF1565" w:rsidRDefault="00163F80" w:rsidP="003F5FD5">
      <w:pPr>
        <w:tabs>
          <w:tab w:val="left" w:pos="851"/>
          <w:tab w:val="center" w:pos="9360"/>
        </w:tabs>
        <w:ind w:firstLine="567"/>
        <w:jc w:val="both"/>
        <w:rPr>
          <w:sz w:val="28"/>
          <w:szCs w:val="28"/>
        </w:rPr>
      </w:pPr>
      <w:r w:rsidRPr="00FF1565">
        <w:rPr>
          <w:sz w:val="28"/>
          <w:szCs w:val="28"/>
        </w:rPr>
        <w:t>-</w:t>
      </w:r>
      <w:r w:rsidRPr="00FF1565">
        <w:rPr>
          <w:sz w:val="28"/>
          <w:szCs w:val="28"/>
        </w:rPr>
        <w:tab/>
      </w:r>
      <w:r w:rsidRPr="00FF1565">
        <w:rPr>
          <w:sz w:val="28"/>
          <w:szCs w:val="28"/>
        </w:rPr>
        <w:tab/>
        <w:t>число лиц, осужденных к ограничению свободы как основному наказанию, – 257 или 3,6% (в 2023 году– 228 или 3,4%</w:t>
      </w:r>
      <w:r>
        <w:rPr>
          <w:sz w:val="28"/>
          <w:szCs w:val="28"/>
        </w:rPr>
        <w:t>,</w:t>
      </w:r>
      <w:r w:rsidRPr="00FF1565">
        <w:rPr>
          <w:sz w:val="28"/>
          <w:szCs w:val="28"/>
        </w:rPr>
        <w:t xml:space="preserve"> в 2022 году – 224 или 3,3%);</w:t>
      </w:r>
    </w:p>
    <w:p w:rsidR="00163F80" w:rsidRPr="00FF1565" w:rsidRDefault="00163F80" w:rsidP="003F5FD5">
      <w:pPr>
        <w:tabs>
          <w:tab w:val="left" w:pos="851"/>
          <w:tab w:val="center" w:pos="9360"/>
        </w:tabs>
        <w:ind w:firstLine="567"/>
        <w:jc w:val="both"/>
        <w:rPr>
          <w:sz w:val="28"/>
          <w:szCs w:val="28"/>
        </w:rPr>
      </w:pPr>
      <w:r w:rsidRPr="00FF1565">
        <w:rPr>
          <w:sz w:val="28"/>
          <w:szCs w:val="28"/>
        </w:rPr>
        <w:t>-</w:t>
      </w:r>
      <w:r w:rsidRPr="00FF1565">
        <w:rPr>
          <w:sz w:val="28"/>
          <w:szCs w:val="28"/>
        </w:rPr>
        <w:tab/>
        <w:t xml:space="preserve">число лиц, осужденных условно к иным видам наказаний, – 89 или 1,3% </w:t>
      </w:r>
      <w:r w:rsidRPr="00FF1565">
        <w:rPr>
          <w:sz w:val="28"/>
          <w:szCs w:val="28"/>
        </w:rPr>
        <w:br/>
        <w:t>(</w:t>
      </w:r>
      <w:r>
        <w:rPr>
          <w:sz w:val="28"/>
          <w:szCs w:val="28"/>
        </w:rPr>
        <w:t>в 2023 году</w:t>
      </w:r>
      <w:r w:rsidRPr="00FF1565">
        <w:rPr>
          <w:sz w:val="28"/>
          <w:szCs w:val="28"/>
        </w:rPr>
        <w:t xml:space="preserve"> – 116 или 1,7%</w:t>
      </w:r>
      <w:r>
        <w:rPr>
          <w:sz w:val="28"/>
          <w:szCs w:val="28"/>
        </w:rPr>
        <w:t>,</w:t>
      </w:r>
      <w:r w:rsidRPr="00FF1565">
        <w:rPr>
          <w:sz w:val="28"/>
          <w:szCs w:val="28"/>
        </w:rPr>
        <w:t xml:space="preserve"> в 2022 году – 153 или 2,3%); </w:t>
      </w:r>
    </w:p>
    <w:p w:rsidR="00163F80" w:rsidRPr="00FF1565" w:rsidRDefault="00163F80" w:rsidP="003F5FD5">
      <w:pPr>
        <w:tabs>
          <w:tab w:val="left" w:pos="851"/>
          <w:tab w:val="center" w:pos="9360"/>
        </w:tabs>
        <w:ind w:firstLine="567"/>
        <w:jc w:val="both"/>
        <w:rPr>
          <w:sz w:val="28"/>
          <w:szCs w:val="28"/>
        </w:rPr>
      </w:pPr>
      <w:r w:rsidRPr="00FF1565">
        <w:rPr>
          <w:sz w:val="28"/>
          <w:szCs w:val="28"/>
        </w:rPr>
        <w:t>-</w:t>
      </w:r>
      <w:r w:rsidRPr="00FF1565">
        <w:rPr>
          <w:sz w:val="28"/>
          <w:szCs w:val="28"/>
        </w:rPr>
        <w:tab/>
        <w:t xml:space="preserve">число лиц, осужденных к принудительным работам, – 62 или 0,9% </w:t>
      </w:r>
      <w:r w:rsidRPr="00FF1565">
        <w:rPr>
          <w:sz w:val="28"/>
          <w:szCs w:val="28"/>
        </w:rPr>
        <w:br/>
        <w:t>(в 2023 году – 46 или 0,7%</w:t>
      </w:r>
      <w:r>
        <w:rPr>
          <w:sz w:val="28"/>
          <w:szCs w:val="28"/>
        </w:rPr>
        <w:t>,</w:t>
      </w:r>
      <w:r w:rsidRPr="00FF1565">
        <w:rPr>
          <w:sz w:val="28"/>
          <w:szCs w:val="28"/>
        </w:rPr>
        <w:t xml:space="preserve"> в 2022 году – 21 лицо или 0,3%);</w:t>
      </w:r>
    </w:p>
    <w:p w:rsidR="00163F80" w:rsidRPr="00F05173" w:rsidRDefault="00163F80" w:rsidP="0075341A">
      <w:pPr>
        <w:tabs>
          <w:tab w:val="left" w:pos="709"/>
          <w:tab w:val="center" w:pos="9360"/>
        </w:tabs>
        <w:ind w:firstLine="567"/>
        <w:jc w:val="both"/>
        <w:rPr>
          <w:sz w:val="28"/>
          <w:szCs w:val="28"/>
        </w:rPr>
      </w:pPr>
      <w:r w:rsidRPr="00F05173">
        <w:rPr>
          <w:sz w:val="28"/>
          <w:szCs w:val="28"/>
        </w:rPr>
        <w:t>-</w:t>
      </w:r>
      <w:r w:rsidRPr="00F05173">
        <w:rPr>
          <w:sz w:val="28"/>
          <w:szCs w:val="28"/>
        </w:rPr>
        <w:tab/>
        <w:t xml:space="preserve">число лиц, в отношении которых применено в качестве основного вида наказания лишение права занимать определенные должности или заниматься определенной деятельностью, – 6, а в качестве дополнительного наказания – </w:t>
      </w:r>
      <w:r w:rsidRPr="00F05173">
        <w:rPr>
          <w:sz w:val="28"/>
          <w:szCs w:val="28"/>
        </w:rPr>
        <w:br/>
        <w:t>687 или 9,8 % (в 2023 году – в качестве основного наказания 3 и в качестве дополнительного наказания 600 или 8,9%; в 2022 году – в качестве основного наказания 3 и в качестве дополнительного наказания 629 или 9,4%).</w:t>
      </w:r>
    </w:p>
    <w:p w:rsidR="00163F80" w:rsidRPr="00997141" w:rsidRDefault="00163F80" w:rsidP="00BA7F87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997141">
        <w:rPr>
          <w:sz w:val="28"/>
          <w:szCs w:val="28"/>
        </w:rPr>
        <w:t>Освобождено от наказания по различным основаниям 356 лиц, что составляет 5,1% от общего числа осужденных (в 2023 году – 227 лиц или 3,4%;</w:t>
      </w:r>
      <w:r>
        <w:rPr>
          <w:sz w:val="28"/>
          <w:szCs w:val="28"/>
        </w:rPr>
        <w:br/>
      </w:r>
      <w:r w:rsidRPr="00997141">
        <w:rPr>
          <w:sz w:val="28"/>
          <w:szCs w:val="28"/>
        </w:rPr>
        <w:t>в 2022 году – 223 лица или 3,3%).</w:t>
      </w:r>
    </w:p>
    <w:p w:rsidR="00163F80" w:rsidRPr="00E50D8B" w:rsidRDefault="00163F80" w:rsidP="00BA7F87">
      <w:pPr>
        <w:tabs>
          <w:tab w:val="center" w:pos="9360"/>
        </w:tabs>
        <w:ind w:firstLine="567"/>
        <w:jc w:val="both"/>
        <w:rPr>
          <w:sz w:val="28"/>
          <w:szCs w:val="28"/>
          <w:highlight w:val="yellow"/>
        </w:rPr>
      </w:pPr>
      <w:r w:rsidRPr="006C3E4F">
        <w:rPr>
          <w:sz w:val="28"/>
          <w:szCs w:val="28"/>
        </w:rPr>
        <w:t xml:space="preserve">В 2024 году по приговорам первой инстанции оправдано 59 лиц </w:t>
      </w:r>
      <w:r w:rsidRPr="006C3E4F">
        <w:rPr>
          <w:sz w:val="28"/>
          <w:szCs w:val="28"/>
        </w:rPr>
        <w:br/>
        <w:t xml:space="preserve">(в 2023 году – 43 лица; в 2022 году – 41 лицо), при этом их доля от общего числа лиц по оконченным производством уголовным делам составила 0,7%. </w:t>
      </w:r>
      <w:r w:rsidRPr="002514CB">
        <w:rPr>
          <w:sz w:val="28"/>
          <w:szCs w:val="28"/>
        </w:rPr>
        <w:t>Наибольшую долю среди оправданных лиц составили лица, в отношении которых рассматривались дела: за преступления против интересов службы в органах власти и местного самоуправления (ст. 285 – 289, 292, 293 УК РФ) (в 2024 году – 14 лиц или 23,7%</w:t>
      </w:r>
      <w:r w:rsidRPr="00D2583D">
        <w:rPr>
          <w:sz w:val="28"/>
          <w:szCs w:val="28"/>
        </w:rPr>
        <w:t xml:space="preserve"> </w:t>
      </w:r>
      <w:r w:rsidRPr="002514CB">
        <w:rPr>
          <w:sz w:val="28"/>
          <w:szCs w:val="28"/>
        </w:rPr>
        <w:t>от общего числа оправданных лиц,</w:t>
      </w:r>
      <w:r>
        <w:rPr>
          <w:sz w:val="28"/>
          <w:szCs w:val="28"/>
        </w:rPr>
        <w:t xml:space="preserve"> </w:t>
      </w:r>
      <w:r w:rsidRPr="002514CB">
        <w:rPr>
          <w:sz w:val="28"/>
          <w:szCs w:val="28"/>
        </w:rPr>
        <w:t>в 2023 году – 7 лиц или 16,3%</w:t>
      </w:r>
      <w:r w:rsidRPr="00D2583D">
        <w:rPr>
          <w:sz w:val="28"/>
          <w:szCs w:val="28"/>
        </w:rPr>
        <w:t xml:space="preserve"> </w:t>
      </w:r>
      <w:r w:rsidRPr="002514CB">
        <w:rPr>
          <w:sz w:val="28"/>
          <w:szCs w:val="28"/>
        </w:rPr>
        <w:t xml:space="preserve">от общего числа оправданных лиц, в 2022 году – 13 лиц или 31,7%); </w:t>
      </w:r>
      <w:r>
        <w:rPr>
          <w:sz w:val="28"/>
          <w:szCs w:val="28"/>
        </w:rPr>
        <w:br/>
      </w:r>
      <w:r w:rsidRPr="002514CB">
        <w:rPr>
          <w:sz w:val="28"/>
          <w:szCs w:val="28"/>
        </w:rPr>
        <w:t xml:space="preserve">за мошенничество (ст. 159, 159.1-159.6 УК РФ) (в 2024 году – 11 лиц или 18,6%, </w:t>
      </w:r>
      <w:r>
        <w:rPr>
          <w:sz w:val="28"/>
          <w:szCs w:val="28"/>
        </w:rPr>
        <w:br/>
      </w:r>
      <w:r w:rsidRPr="002514CB">
        <w:rPr>
          <w:sz w:val="28"/>
          <w:szCs w:val="28"/>
        </w:rPr>
        <w:t>в 2023 году – 13 лиц или 30,2%, в 2022 году – 6 лиц или 14,6%); за получение взятки (ст. 290 УК РФ) (в 2024 году – 5 лиц или 8,5%, в 2023 году – 4 лица или 9,3%, в 2022 году – 1 или 2,4%),</w:t>
      </w:r>
      <w:r>
        <w:rPr>
          <w:sz w:val="28"/>
          <w:szCs w:val="28"/>
        </w:rPr>
        <w:t xml:space="preserve"> </w:t>
      </w:r>
      <w:r w:rsidRPr="002514CB">
        <w:rPr>
          <w:sz w:val="28"/>
          <w:szCs w:val="28"/>
        </w:rPr>
        <w:t xml:space="preserve">за убийство без смягчающих обстоятельств </w:t>
      </w:r>
      <w:r>
        <w:rPr>
          <w:sz w:val="28"/>
          <w:szCs w:val="28"/>
        </w:rPr>
        <w:br/>
      </w:r>
      <w:r w:rsidRPr="002514CB">
        <w:rPr>
          <w:sz w:val="28"/>
          <w:szCs w:val="28"/>
        </w:rPr>
        <w:t xml:space="preserve">(ст. 105 УК РФ) (в 2024 году – 2 лица или 3,4%; в 2023 году – 4 лица или 9,3%, </w:t>
      </w:r>
      <w:r>
        <w:rPr>
          <w:sz w:val="28"/>
          <w:szCs w:val="28"/>
        </w:rPr>
        <w:br/>
      </w:r>
      <w:r w:rsidRPr="002514CB">
        <w:rPr>
          <w:sz w:val="28"/>
          <w:szCs w:val="28"/>
        </w:rPr>
        <w:t xml:space="preserve">в 2022 году – 5 лиц или 12,2%), за незаконные действия с оружием (ст. 222-226.1) (в 2024 году – 3 лица или 5,1%, </w:t>
      </w:r>
      <w:r w:rsidRPr="00D2583D">
        <w:rPr>
          <w:sz w:val="28"/>
          <w:szCs w:val="28"/>
        </w:rPr>
        <w:t xml:space="preserve">в 2023 году – 4 лица или 9,3%, в 2022 году – </w:t>
      </w:r>
      <w:r>
        <w:rPr>
          <w:sz w:val="28"/>
          <w:szCs w:val="28"/>
        </w:rPr>
        <w:br/>
      </w:r>
      <w:r w:rsidRPr="00D2583D">
        <w:rPr>
          <w:sz w:val="28"/>
          <w:szCs w:val="28"/>
        </w:rPr>
        <w:t>0 лиц).</w:t>
      </w:r>
    </w:p>
    <w:p w:rsidR="00163F80" w:rsidRPr="00801BF1" w:rsidRDefault="00163F80" w:rsidP="00BA7F87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C265D6">
        <w:rPr>
          <w:sz w:val="28"/>
          <w:szCs w:val="28"/>
        </w:rPr>
        <w:t xml:space="preserve">Число лиц, в отношении которых дела были прекращены по реабилитирующим основаниям (отсутствие события, состава преступления, непричастность к преступлению), в сравнении с 2023 годом увеличилось </w:t>
      </w:r>
      <w:r w:rsidRPr="00C265D6">
        <w:rPr>
          <w:sz w:val="28"/>
          <w:szCs w:val="28"/>
        </w:rPr>
        <w:br/>
        <w:t>с 5 (2023г.) до 15 (2024г.). Число лиц, в отношении которых уголовные дела были прекращены по иным основаниям, незначительно уменьшилось и составило 1 030 или 12,6% от общего числа лиц по оконченным делам (в 2023 году – 1 173 лица или 14,5%; в 2022 году – 1 216 лиц или 1</w:t>
      </w:r>
      <w:r w:rsidRPr="00801BF1">
        <w:rPr>
          <w:sz w:val="28"/>
          <w:szCs w:val="28"/>
        </w:rPr>
        <w:t xml:space="preserve">5,3%). </w:t>
      </w:r>
      <w:r w:rsidRPr="0072149C">
        <w:rPr>
          <w:sz w:val="28"/>
          <w:szCs w:val="28"/>
        </w:rPr>
        <w:t xml:space="preserve">Из общего числа лиц, в отношении которых дела были прекращены, число лиц, в отношении которых дела прекращены с назначением меры уголовно-правового характера в виде судебного штрафа, уменьшилось на 28,1% и составило 248 лиц или 24,1% (в 2023 году – 345 </w:t>
      </w:r>
      <w:r>
        <w:rPr>
          <w:sz w:val="28"/>
          <w:szCs w:val="28"/>
        </w:rPr>
        <w:t>лиц или 29,</w:t>
      </w:r>
      <w:r w:rsidRPr="0072149C">
        <w:rPr>
          <w:sz w:val="28"/>
          <w:szCs w:val="28"/>
        </w:rPr>
        <w:t>4%; в 2022 году – 412 лиц или 33,9%).</w:t>
      </w:r>
      <w:r w:rsidRPr="00801BF1">
        <w:rPr>
          <w:sz w:val="28"/>
          <w:szCs w:val="28"/>
        </w:rPr>
        <w:t xml:space="preserve"> </w:t>
      </w:r>
    </w:p>
    <w:p w:rsidR="00163F80" w:rsidRPr="006C7B13" w:rsidRDefault="00163F80" w:rsidP="00BA7F87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6C7B13">
        <w:rPr>
          <w:sz w:val="28"/>
          <w:szCs w:val="28"/>
        </w:rPr>
        <w:t xml:space="preserve">Структура продолжительности нахождения дел в производстве судов (исключая срок приостановления) выглядит следующим образом: </w:t>
      </w:r>
      <w:r w:rsidRPr="006C7B13">
        <w:rPr>
          <w:sz w:val="28"/>
          <w:szCs w:val="28"/>
        </w:rPr>
        <w:br/>
        <w:t>количество дел, находившихся в производстве судов до 1,5 месяцев</w:t>
      </w:r>
      <w:r>
        <w:rPr>
          <w:sz w:val="28"/>
          <w:szCs w:val="28"/>
        </w:rPr>
        <w:t>,</w:t>
      </w:r>
      <w:r w:rsidRPr="006C7B13">
        <w:rPr>
          <w:sz w:val="28"/>
          <w:szCs w:val="28"/>
        </w:rPr>
        <w:t xml:space="preserve"> составило 3 615 или 43,7% от общего количества оконченных по первой инстанции уголовных дел; свыше 1,5 до 3 месяцев включительно – 2 164 или 26,2%; </w:t>
      </w:r>
      <w:r w:rsidRPr="006C7B13">
        <w:rPr>
          <w:sz w:val="28"/>
          <w:szCs w:val="28"/>
        </w:rPr>
        <w:br/>
        <w:t xml:space="preserve">свыше 3 месяцев до 1 года включительно – 2 202 или 26,6%; свыше 1 года </w:t>
      </w:r>
      <w:r w:rsidRPr="006C7B13">
        <w:rPr>
          <w:sz w:val="28"/>
          <w:szCs w:val="28"/>
        </w:rPr>
        <w:br/>
        <w:t xml:space="preserve">до 2 лет включительно – 223 или 2,7%; свыше 2 лет до 3 лет включительно – </w:t>
      </w:r>
      <w:r w:rsidRPr="006C7B13">
        <w:rPr>
          <w:sz w:val="28"/>
          <w:szCs w:val="28"/>
        </w:rPr>
        <w:br/>
        <w:t>51 или 0,6 %; свыше 3 лет – 15 или 0,02 %.</w:t>
      </w:r>
    </w:p>
    <w:p w:rsidR="00163F80" w:rsidRPr="006C7B13" w:rsidRDefault="00163F80" w:rsidP="00F67D08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6C7B13">
        <w:rPr>
          <w:sz w:val="28"/>
          <w:szCs w:val="28"/>
        </w:rPr>
        <w:t>Районными (городскими) судами республики в 2024 году окончено производством 99 апелляционных уголовных дел (в 2023 году – 80 дел</w:t>
      </w:r>
      <w:r>
        <w:rPr>
          <w:sz w:val="28"/>
          <w:szCs w:val="28"/>
        </w:rPr>
        <w:t>,</w:t>
      </w:r>
      <w:r w:rsidRPr="006C7B13">
        <w:rPr>
          <w:sz w:val="28"/>
          <w:szCs w:val="28"/>
        </w:rPr>
        <w:t xml:space="preserve"> в 2022 году – 90 дел).</w:t>
      </w:r>
    </w:p>
    <w:p w:rsidR="00163F80" w:rsidRPr="00E55BCB" w:rsidRDefault="00163F80" w:rsidP="00BA7F87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E55BCB">
        <w:rPr>
          <w:sz w:val="28"/>
          <w:szCs w:val="28"/>
        </w:rPr>
        <w:t xml:space="preserve">Видео-конференц-связь использовалась по 72 уголовным делам </w:t>
      </w:r>
      <w:r w:rsidRPr="00E55BCB">
        <w:rPr>
          <w:sz w:val="28"/>
          <w:szCs w:val="28"/>
        </w:rPr>
        <w:br/>
        <w:t xml:space="preserve">в 145 судебных заседаниях. </w:t>
      </w:r>
    </w:p>
    <w:p w:rsidR="00163F80" w:rsidRPr="000643E5" w:rsidRDefault="00163F80" w:rsidP="00BA7F87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0643E5">
        <w:rPr>
          <w:sz w:val="28"/>
          <w:szCs w:val="28"/>
        </w:rPr>
        <w:t xml:space="preserve">Среднемесячная служебная нагрузка в расчете на одного судью </w:t>
      </w:r>
      <w:r w:rsidRPr="000643E5">
        <w:rPr>
          <w:sz w:val="28"/>
          <w:szCs w:val="28"/>
        </w:rPr>
        <w:br/>
        <w:t xml:space="preserve">по рассмотрению уголовных дел по первой и апелляционной инстанциям </w:t>
      </w:r>
      <w:r w:rsidRPr="000643E5">
        <w:rPr>
          <w:sz w:val="28"/>
          <w:szCs w:val="28"/>
        </w:rPr>
        <w:br/>
        <w:t xml:space="preserve">в сравнении с 2023 годом незначительно увеличилась и составила 5,0 дела в месяц </w:t>
      </w:r>
      <w:r w:rsidRPr="000643E5">
        <w:rPr>
          <w:sz w:val="28"/>
          <w:szCs w:val="28"/>
        </w:rPr>
        <w:br/>
        <w:t>(в 2023 году – 4,6 дела</w:t>
      </w:r>
      <w:r>
        <w:rPr>
          <w:sz w:val="28"/>
          <w:szCs w:val="28"/>
        </w:rPr>
        <w:t>,</w:t>
      </w:r>
      <w:r w:rsidRPr="000643E5">
        <w:rPr>
          <w:sz w:val="28"/>
          <w:szCs w:val="28"/>
        </w:rPr>
        <w:t xml:space="preserve"> в 2022 году – 4,7 дела). </w:t>
      </w:r>
    </w:p>
    <w:p w:rsidR="00163F80" w:rsidRPr="00512380" w:rsidRDefault="00163F80" w:rsidP="008D49E9">
      <w:pPr>
        <w:tabs>
          <w:tab w:val="center" w:pos="9360"/>
        </w:tabs>
        <w:ind w:firstLine="567"/>
        <w:jc w:val="both"/>
        <w:rPr>
          <w:sz w:val="28"/>
          <w:szCs w:val="28"/>
        </w:rPr>
      </w:pPr>
      <w:r w:rsidRPr="00512380">
        <w:rPr>
          <w:sz w:val="28"/>
          <w:szCs w:val="28"/>
        </w:rPr>
        <w:t xml:space="preserve">Наибольшая среднемесячная нагрузка по рассмотрению уголовных дел </w:t>
      </w:r>
      <w:r w:rsidRPr="00512380">
        <w:rPr>
          <w:sz w:val="28"/>
          <w:szCs w:val="28"/>
        </w:rPr>
        <w:br/>
        <w:t xml:space="preserve">по первой и апелляционной инстанциям в расчете на одного судью приходится </w:t>
      </w:r>
      <w:r w:rsidRPr="00512380">
        <w:rPr>
          <w:sz w:val="28"/>
          <w:szCs w:val="28"/>
        </w:rPr>
        <w:br/>
        <w:t>на Карабудахкентский районный суд (12,4), Хасавюртовский городской суд (11,1), Кизилюртовский районный суд (9,9), Буйнакский городской суд (9,4), Дербентский городской суд (9,0)</w:t>
      </w:r>
      <w:r>
        <w:rPr>
          <w:sz w:val="28"/>
          <w:szCs w:val="28"/>
        </w:rPr>
        <w:t>.</w:t>
      </w:r>
      <w:r w:rsidRPr="00512380">
        <w:rPr>
          <w:sz w:val="28"/>
          <w:szCs w:val="28"/>
        </w:rPr>
        <w:t xml:space="preserve"> Наименьшая среднемесячная нагрузка </w:t>
      </w:r>
      <w:r>
        <w:rPr>
          <w:sz w:val="28"/>
          <w:szCs w:val="28"/>
        </w:rPr>
        <w:br/>
      </w:r>
      <w:r w:rsidRPr="00512380">
        <w:rPr>
          <w:sz w:val="28"/>
          <w:szCs w:val="28"/>
        </w:rPr>
        <w:t>по рассмотрению уголовных дел в расчете на одного судью в Акушинском, Ахтынском, Лакском, Хивском</w:t>
      </w:r>
      <w:r>
        <w:rPr>
          <w:sz w:val="28"/>
          <w:szCs w:val="28"/>
        </w:rPr>
        <w:t xml:space="preserve"> судах</w:t>
      </w:r>
      <w:r w:rsidRPr="00512380">
        <w:rPr>
          <w:sz w:val="28"/>
          <w:szCs w:val="28"/>
        </w:rPr>
        <w:t xml:space="preserve"> (менее 2 уголовных дел в месяц на одного судью). </w:t>
      </w:r>
      <w:bookmarkStart w:id="3" w:name="_Toc360125350"/>
      <w:bookmarkStart w:id="4" w:name="_Toc392090305"/>
    </w:p>
    <w:p w:rsidR="00163F80" w:rsidRPr="00512380" w:rsidRDefault="00163F80" w:rsidP="008D49E9">
      <w:pPr>
        <w:tabs>
          <w:tab w:val="center" w:pos="9360"/>
        </w:tabs>
        <w:ind w:firstLine="567"/>
        <w:jc w:val="both"/>
      </w:pPr>
    </w:p>
    <w:p w:rsidR="00163F80" w:rsidRPr="000E6F40" w:rsidRDefault="00163F80" w:rsidP="00655E7B">
      <w:pPr>
        <w:pStyle w:val="Heading1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0E6F40">
        <w:rPr>
          <w:rFonts w:ascii="Times New Roman" w:hAnsi="Times New Roman" w:cs="Times New Roman"/>
          <w:sz w:val="28"/>
          <w:szCs w:val="28"/>
        </w:rPr>
        <w:t xml:space="preserve">Рассмотрение гражданских дел </w:t>
      </w:r>
      <w:bookmarkEnd w:id="3"/>
      <w:bookmarkEnd w:id="4"/>
    </w:p>
    <w:p w:rsidR="00163F80" w:rsidRPr="00DB0F09" w:rsidRDefault="00163F80" w:rsidP="009D577C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DB0F09">
        <w:rPr>
          <w:sz w:val="28"/>
          <w:szCs w:val="28"/>
        </w:rPr>
        <w:t xml:space="preserve">В 2024 году районными (городскими) судами республики рассмотрено </w:t>
      </w:r>
      <w:r w:rsidRPr="00DB0F09">
        <w:rPr>
          <w:sz w:val="28"/>
          <w:szCs w:val="28"/>
        </w:rPr>
        <w:br/>
        <w:t>38 924 гражданских дел</w:t>
      </w:r>
      <w:r>
        <w:rPr>
          <w:sz w:val="28"/>
          <w:szCs w:val="28"/>
        </w:rPr>
        <w:t>а</w:t>
      </w:r>
      <w:r w:rsidRPr="00DB0F09">
        <w:rPr>
          <w:sz w:val="28"/>
          <w:szCs w:val="28"/>
        </w:rPr>
        <w:t xml:space="preserve"> по первой инстанции, что на 3,9% больше, чем </w:t>
      </w:r>
      <w:r>
        <w:rPr>
          <w:sz w:val="28"/>
          <w:szCs w:val="28"/>
        </w:rPr>
        <w:br/>
      </w:r>
      <w:r w:rsidRPr="00DB0F09">
        <w:rPr>
          <w:sz w:val="28"/>
          <w:szCs w:val="28"/>
        </w:rPr>
        <w:t xml:space="preserve">в 2023 году </w:t>
      </w:r>
      <w:r>
        <w:rPr>
          <w:sz w:val="28"/>
          <w:szCs w:val="28"/>
        </w:rPr>
        <w:t>–</w:t>
      </w:r>
      <w:r w:rsidRPr="00DB0F09">
        <w:rPr>
          <w:sz w:val="28"/>
          <w:szCs w:val="28"/>
        </w:rPr>
        <w:t xml:space="preserve"> 37</w:t>
      </w:r>
      <w:r>
        <w:rPr>
          <w:sz w:val="28"/>
          <w:szCs w:val="28"/>
        </w:rPr>
        <w:t> </w:t>
      </w:r>
      <w:r w:rsidRPr="00DB0F09">
        <w:rPr>
          <w:sz w:val="28"/>
          <w:szCs w:val="28"/>
        </w:rPr>
        <w:t xml:space="preserve">449 </w:t>
      </w:r>
      <w:r>
        <w:rPr>
          <w:sz w:val="28"/>
          <w:szCs w:val="28"/>
        </w:rPr>
        <w:t xml:space="preserve">дел </w:t>
      </w:r>
      <w:r w:rsidRPr="00DB0F09">
        <w:rPr>
          <w:sz w:val="28"/>
          <w:szCs w:val="28"/>
        </w:rPr>
        <w:t xml:space="preserve">(в 2022 году </w:t>
      </w:r>
      <w:r>
        <w:rPr>
          <w:sz w:val="28"/>
          <w:szCs w:val="28"/>
        </w:rPr>
        <w:t xml:space="preserve">– </w:t>
      </w:r>
      <w:r w:rsidRPr="00DB0F09">
        <w:rPr>
          <w:sz w:val="28"/>
          <w:szCs w:val="28"/>
        </w:rPr>
        <w:t>36 126 дел). В апелляционной инстанции рассмотрено 806 дел (</w:t>
      </w:r>
      <w:r>
        <w:rPr>
          <w:sz w:val="28"/>
          <w:szCs w:val="28"/>
        </w:rPr>
        <w:t>в 2023 году – 809</w:t>
      </w:r>
      <w:r w:rsidRPr="00DB0F09">
        <w:rPr>
          <w:sz w:val="28"/>
          <w:szCs w:val="28"/>
        </w:rPr>
        <w:t xml:space="preserve"> дел</w:t>
      </w:r>
      <w:r>
        <w:rPr>
          <w:sz w:val="28"/>
          <w:szCs w:val="28"/>
        </w:rPr>
        <w:t>,</w:t>
      </w:r>
      <w:r w:rsidRPr="00DB0F09">
        <w:rPr>
          <w:sz w:val="28"/>
          <w:szCs w:val="28"/>
        </w:rPr>
        <w:t xml:space="preserve"> в 2022 году </w:t>
      </w:r>
      <w:r>
        <w:rPr>
          <w:sz w:val="28"/>
          <w:szCs w:val="28"/>
        </w:rPr>
        <w:t>–</w:t>
      </w:r>
      <w:r w:rsidRPr="00DB0F09">
        <w:rPr>
          <w:sz w:val="28"/>
          <w:szCs w:val="28"/>
        </w:rPr>
        <w:t xml:space="preserve"> 1 145 дел).</w:t>
      </w:r>
    </w:p>
    <w:p w:rsidR="00163F80" w:rsidRPr="00DB0F09" w:rsidRDefault="00163F80" w:rsidP="009D577C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DB0F09">
        <w:rPr>
          <w:sz w:val="28"/>
          <w:szCs w:val="28"/>
        </w:rPr>
        <w:t xml:space="preserve">С нарушением процессуальных сроков рассмотрено 639 дел, что на 7,8% меньше показателя 2023 года (в 2023 году </w:t>
      </w:r>
      <w:r>
        <w:rPr>
          <w:sz w:val="28"/>
          <w:szCs w:val="28"/>
        </w:rPr>
        <w:t>–</w:t>
      </w:r>
      <w:r w:rsidRPr="00DB0F09">
        <w:rPr>
          <w:sz w:val="28"/>
          <w:szCs w:val="28"/>
        </w:rPr>
        <w:t xml:space="preserve"> 2</w:t>
      </w:r>
      <w:r>
        <w:rPr>
          <w:sz w:val="28"/>
          <w:szCs w:val="28"/>
        </w:rPr>
        <w:t> </w:t>
      </w:r>
      <w:r w:rsidRPr="00DB0F09">
        <w:rPr>
          <w:sz w:val="28"/>
          <w:szCs w:val="28"/>
        </w:rPr>
        <w:t>143</w:t>
      </w:r>
      <w:r>
        <w:rPr>
          <w:sz w:val="28"/>
          <w:szCs w:val="28"/>
        </w:rPr>
        <w:t>,</w:t>
      </w:r>
      <w:r w:rsidRPr="00DB0F09">
        <w:rPr>
          <w:sz w:val="28"/>
          <w:szCs w:val="28"/>
        </w:rPr>
        <w:t xml:space="preserve"> в 2022 году </w:t>
      </w:r>
      <w:r>
        <w:rPr>
          <w:sz w:val="28"/>
          <w:szCs w:val="28"/>
        </w:rPr>
        <w:t>–</w:t>
      </w:r>
      <w:r w:rsidRPr="00DB0F09">
        <w:rPr>
          <w:sz w:val="28"/>
          <w:szCs w:val="28"/>
        </w:rPr>
        <w:t xml:space="preserve"> 2 325 дел) </w:t>
      </w:r>
      <w:r>
        <w:rPr>
          <w:sz w:val="28"/>
          <w:szCs w:val="28"/>
        </w:rPr>
        <w:br/>
      </w:r>
      <w:r w:rsidRPr="00DB0F09">
        <w:rPr>
          <w:sz w:val="28"/>
          <w:szCs w:val="28"/>
        </w:rPr>
        <w:t xml:space="preserve">и составляет 5,7% от общего количества оконченных производством гражданских дел. </w:t>
      </w:r>
    </w:p>
    <w:p w:rsidR="00163F80" w:rsidRPr="00907261" w:rsidRDefault="00163F80" w:rsidP="009D577C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DB0F09">
        <w:rPr>
          <w:sz w:val="28"/>
          <w:szCs w:val="28"/>
        </w:rPr>
        <w:t>Из оконченных производством по первой инстанции гражданских дел рассмотрено с вынесением решения 31 021 дел</w:t>
      </w:r>
      <w:r>
        <w:rPr>
          <w:sz w:val="28"/>
          <w:szCs w:val="28"/>
        </w:rPr>
        <w:t>о</w:t>
      </w:r>
      <w:r w:rsidRPr="00DB0F09">
        <w:rPr>
          <w:sz w:val="28"/>
          <w:szCs w:val="28"/>
        </w:rPr>
        <w:t xml:space="preserve"> или 79,7% от общего количества оконченных производством гражданских дел (в 2023 году</w:t>
      </w:r>
      <w:r>
        <w:rPr>
          <w:sz w:val="28"/>
          <w:szCs w:val="28"/>
        </w:rPr>
        <w:t xml:space="preserve"> –</w:t>
      </w:r>
      <w:r w:rsidRPr="00DB0F09">
        <w:rPr>
          <w:sz w:val="28"/>
          <w:szCs w:val="28"/>
        </w:rPr>
        <w:t xml:space="preserve"> 30 716 дел или 82%; </w:t>
      </w:r>
      <w:r>
        <w:rPr>
          <w:sz w:val="28"/>
          <w:szCs w:val="28"/>
        </w:rPr>
        <w:br/>
      </w:r>
      <w:r w:rsidRPr="00DB0F09">
        <w:rPr>
          <w:sz w:val="28"/>
          <w:szCs w:val="28"/>
        </w:rPr>
        <w:t xml:space="preserve">в 2022 году – 29 398 дел или 81,4%), оставлено без рассмотрения 5 626 дел или </w:t>
      </w:r>
      <w:r w:rsidRPr="000C39F2">
        <w:rPr>
          <w:sz w:val="28"/>
          <w:szCs w:val="28"/>
        </w:rPr>
        <w:t>14,45% (в 2023 году – 4 564 дел</w:t>
      </w:r>
      <w:r>
        <w:rPr>
          <w:sz w:val="28"/>
          <w:szCs w:val="28"/>
        </w:rPr>
        <w:t>а</w:t>
      </w:r>
      <w:r w:rsidRPr="000C39F2">
        <w:rPr>
          <w:sz w:val="28"/>
          <w:szCs w:val="28"/>
        </w:rPr>
        <w:t xml:space="preserve"> или 12,2%</w:t>
      </w:r>
      <w:r>
        <w:rPr>
          <w:sz w:val="28"/>
          <w:szCs w:val="28"/>
        </w:rPr>
        <w:t xml:space="preserve">; </w:t>
      </w:r>
      <w:r w:rsidRPr="000C39F2">
        <w:rPr>
          <w:sz w:val="28"/>
          <w:szCs w:val="28"/>
        </w:rPr>
        <w:t xml:space="preserve">в 2022 году – 4 595 дел или 12,7%), прекращено 1 025 дел или 2,6% (в 2023 году – 1 141 дело или 3,1%; в 2022 году – </w:t>
      </w:r>
      <w:r w:rsidRPr="00B77AC4">
        <w:rPr>
          <w:sz w:val="28"/>
          <w:szCs w:val="28"/>
        </w:rPr>
        <w:t>1 224 дела или 3,4%), передано в другие суды 1 252 дел</w:t>
      </w:r>
      <w:r>
        <w:rPr>
          <w:sz w:val="28"/>
          <w:szCs w:val="28"/>
        </w:rPr>
        <w:t>а</w:t>
      </w:r>
      <w:r w:rsidRPr="00B77AC4">
        <w:rPr>
          <w:sz w:val="28"/>
          <w:szCs w:val="28"/>
        </w:rPr>
        <w:t xml:space="preserve"> или 3,2% (в 2023 году – 1 028 дел или 2,7%; в 2022 году – 909 дел или 2,5%). При этом из гражданских дел, рассмотренных с вынесением решения, с удовлетворением требования рассмотрено 27 485 дел, что составляет 70,6% от общего количества оконченных производством гражданских дел (в 2023 году – 27 413 дел или 73,2%; в 2022 году – 26 731 дело или 74%), а с отказом в удовлетворении требования 3 536 дел </w:t>
      </w:r>
      <w:r>
        <w:rPr>
          <w:sz w:val="28"/>
          <w:szCs w:val="28"/>
        </w:rPr>
        <w:br/>
      </w:r>
      <w:r w:rsidRPr="00B77AC4">
        <w:rPr>
          <w:sz w:val="28"/>
          <w:szCs w:val="28"/>
        </w:rPr>
        <w:t xml:space="preserve">или 9,1% от общего количества оконченных производством гражданских дел </w:t>
      </w:r>
      <w:r>
        <w:rPr>
          <w:sz w:val="28"/>
          <w:szCs w:val="28"/>
        </w:rPr>
        <w:br/>
      </w:r>
      <w:r w:rsidRPr="00B77AC4">
        <w:rPr>
          <w:sz w:val="28"/>
          <w:szCs w:val="28"/>
        </w:rPr>
        <w:t xml:space="preserve">(в 2023 году – 3 303 дела или 8,8%; в 2022 году – 2 667 дел или 7,4%). </w:t>
      </w:r>
      <w:r>
        <w:rPr>
          <w:sz w:val="28"/>
          <w:szCs w:val="28"/>
        </w:rPr>
        <w:br/>
      </w:r>
      <w:r w:rsidRPr="00907261">
        <w:rPr>
          <w:sz w:val="28"/>
          <w:szCs w:val="28"/>
        </w:rPr>
        <w:t>Сумма, присужденная к взысканию по удовлетворенным искам, составила 9</w:t>
      </w:r>
      <w:r w:rsidRPr="00907261">
        <w:rPr>
          <w:sz w:val="28"/>
          <w:szCs w:val="28"/>
          <w:lang w:val="en-US"/>
        </w:rPr>
        <w:t> </w:t>
      </w:r>
      <w:r w:rsidRPr="00907261">
        <w:rPr>
          <w:sz w:val="28"/>
          <w:szCs w:val="28"/>
        </w:rPr>
        <w:t>601</w:t>
      </w:r>
      <w:r w:rsidRPr="00907261">
        <w:rPr>
          <w:sz w:val="28"/>
          <w:szCs w:val="28"/>
          <w:lang w:val="en-US"/>
        </w:rPr>
        <w:t> </w:t>
      </w:r>
      <w:r w:rsidRPr="00907261">
        <w:rPr>
          <w:sz w:val="28"/>
          <w:szCs w:val="28"/>
        </w:rPr>
        <w:t>730 598 руб.</w:t>
      </w:r>
    </w:p>
    <w:p w:rsidR="00163F80" w:rsidRPr="00E50D8B" w:rsidRDefault="00163F80" w:rsidP="009043C7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  <w:highlight w:val="yellow"/>
        </w:rPr>
      </w:pPr>
      <w:r w:rsidRPr="00907261">
        <w:rPr>
          <w:sz w:val="28"/>
          <w:szCs w:val="28"/>
        </w:rPr>
        <w:t>В структуре оконченных производством гражданских дел 34 432 дел</w:t>
      </w:r>
      <w:r>
        <w:rPr>
          <w:sz w:val="28"/>
          <w:szCs w:val="28"/>
        </w:rPr>
        <w:t>а</w:t>
      </w:r>
      <w:r w:rsidRPr="00907261">
        <w:rPr>
          <w:sz w:val="28"/>
          <w:szCs w:val="28"/>
        </w:rPr>
        <w:br/>
        <w:t>или 88,5% составили дела искового и приказного производства (в 2023 году – 32 405 дел</w:t>
      </w:r>
      <w:r>
        <w:rPr>
          <w:sz w:val="28"/>
          <w:szCs w:val="28"/>
        </w:rPr>
        <w:t xml:space="preserve"> </w:t>
      </w:r>
      <w:r w:rsidRPr="00907261">
        <w:rPr>
          <w:sz w:val="28"/>
          <w:szCs w:val="28"/>
        </w:rPr>
        <w:t xml:space="preserve">или 86,5%; в 2022 году – 31 934 дела или 88,4%) и 4 492 дела или 11,5% </w:t>
      </w:r>
      <w:r w:rsidRPr="006C5589">
        <w:rPr>
          <w:sz w:val="28"/>
          <w:szCs w:val="28"/>
        </w:rPr>
        <w:t>– дела особого производства (в 2023 году – 5 044 дела или 13,5%;</w:t>
      </w:r>
      <w:r>
        <w:rPr>
          <w:sz w:val="28"/>
          <w:szCs w:val="28"/>
        </w:rPr>
        <w:t xml:space="preserve"> </w:t>
      </w:r>
      <w:r w:rsidRPr="006C5589">
        <w:rPr>
          <w:sz w:val="28"/>
          <w:szCs w:val="28"/>
        </w:rPr>
        <w:t xml:space="preserve">в 2022 году – 4 192 дела или 11,6%). При этом с удовлетворением требования рассмотрено 23 815 дел искового производства или 69,2% от общего количества рассмотренных гражданских дел искового производства. </w:t>
      </w:r>
    </w:p>
    <w:p w:rsidR="00163F80" w:rsidRDefault="00163F80" w:rsidP="009D577C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0F233D">
        <w:rPr>
          <w:sz w:val="28"/>
          <w:szCs w:val="28"/>
        </w:rPr>
        <w:t xml:space="preserve">Из рассмотренных по первой инстанции гражданских дел искового и приказного производства: </w:t>
      </w:r>
    </w:p>
    <w:p w:rsidR="00163F80" w:rsidRPr="001439BA" w:rsidRDefault="00163F80" w:rsidP="00074718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0F233D">
        <w:rPr>
          <w:sz w:val="28"/>
          <w:szCs w:val="28"/>
        </w:rPr>
        <w:t>- 1</w:t>
      </w:r>
      <w:r>
        <w:rPr>
          <w:sz w:val="28"/>
          <w:szCs w:val="28"/>
        </w:rPr>
        <w:t>3</w:t>
      </w:r>
      <w:r w:rsidRPr="000F233D">
        <w:rPr>
          <w:sz w:val="28"/>
          <w:szCs w:val="28"/>
        </w:rPr>
        <w:t> </w:t>
      </w:r>
      <w:r>
        <w:rPr>
          <w:sz w:val="28"/>
          <w:szCs w:val="28"/>
        </w:rPr>
        <w:t>640</w:t>
      </w:r>
      <w:r w:rsidRPr="000F233D">
        <w:rPr>
          <w:sz w:val="28"/>
          <w:szCs w:val="28"/>
        </w:rPr>
        <w:t xml:space="preserve"> дел или 39,6% – заявления юридических лиц к физическим лицам </w:t>
      </w:r>
      <w:r w:rsidRPr="000F233D">
        <w:rPr>
          <w:sz w:val="28"/>
          <w:szCs w:val="28"/>
        </w:rPr>
        <w:br/>
      </w:r>
      <w:r w:rsidRPr="001439BA">
        <w:rPr>
          <w:sz w:val="28"/>
          <w:szCs w:val="28"/>
        </w:rPr>
        <w:t>(в 2023 году – 11 973 дела или 37%; в 2022 году – 8 967 дел или 28,1%);</w:t>
      </w:r>
    </w:p>
    <w:p w:rsidR="00163F80" w:rsidRPr="000F233D" w:rsidRDefault="00163F80" w:rsidP="00DE273C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0F233D">
        <w:rPr>
          <w:sz w:val="28"/>
          <w:szCs w:val="28"/>
        </w:rPr>
        <w:t>- 10 911 дел или 31,7% – исковые заявления физических лиц к физическим лицам (в 2023 году – 10 561 дело или 32,6%; в 2022 году – 13 640 дел или 43,5%);</w:t>
      </w:r>
    </w:p>
    <w:p w:rsidR="00163F80" w:rsidRPr="001439BA" w:rsidRDefault="00163F80" w:rsidP="00BA3565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1439BA">
        <w:rPr>
          <w:sz w:val="28"/>
          <w:szCs w:val="28"/>
        </w:rPr>
        <w:t xml:space="preserve">- 9 038 дел или 26,2% – заявления физических лиц к юридическим лицам </w:t>
      </w:r>
      <w:r w:rsidRPr="001439BA">
        <w:rPr>
          <w:sz w:val="28"/>
          <w:szCs w:val="28"/>
        </w:rPr>
        <w:br/>
        <w:t>(в 2023 году – 8 919 дел или 27,5%; в 2022 году – 7 575 дел или 23,7 %);</w:t>
      </w:r>
    </w:p>
    <w:p w:rsidR="00163F80" w:rsidRPr="00074718" w:rsidRDefault="00163F80" w:rsidP="00BA3565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074718">
        <w:rPr>
          <w:sz w:val="28"/>
          <w:szCs w:val="28"/>
        </w:rPr>
        <w:t>- 529 дел или 1,5% – исковые заявления юридических лиц к юридическим лицам (в 2023 году – 776 дел или 2,4%; в 2022 году – 572 дела или 1,8%);</w:t>
      </w:r>
    </w:p>
    <w:p w:rsidR="00163F80" w:rsidRDefault="00163F80" w:rsidP="00BA3565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993449">
        <w:rPr>
          <w:sz w:val="28"/>
          <w:szCs w:val="28"/>
        </w:rPr>
        <w:t>- 314 дел или 0,9% – иные заявления (в 2023 году – 176 дел или 0,5%; в 2022 году – 915 дел или 2,9%).</w:t>
      </w:r>
    </w:p>
    <w:p w:rsidR="00163F80" w:rsidRDefault="00163F80" w:rsidP="008E3B83">
      <w:pPr>
        <w:tabs>
          <w:tab w:val="left" w:pos="9180"/>
          <w:tab w:val="center" w:pos="9360"/>
        </w:tabs>
        <w:jc w:val="center"/>
        <w:rPr>
          <w:sz w:val="28"/>
          <w:szCs w:val="28"/>
        </w:rPr>
      </w:pPr>
      <w:r w:rsidRPr="00A92371">
        <w:rPr>
          <w:noProof/>
          <w:sz w:val="28"/>
          <w:szCs w:val="28"/>
        </w:rPr>
        <w:pict>
          <v:shape id="Рисунок 64" o:spid="_x0000_i1030" type="#_x0000_t75" style="width:494.25pt;height:325.5pt;visibility:visible">
            <v:imagedata r:id="rId16" o:title=""/>
          </v:shape>
        </w:pict>
      </w:r>
    </w:p>
    <w:p w:rsidR="00163F80" w:rsidRPr="0036136D" w:rsidRDefault="00163F80" w:rsidP="00D93565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313B1B">
        <w:rPr>
          <w:sz w:val="28"/>
          <w:szCs w:val="28"/>
        </w:rPr>
        <w:t xml:space="preserve">Количество споров, связанных с правом собственности на землю и землепользованием, увеличилось на 17,7% по сравнению с 2023 годом – с 5 103 до 6 005 дел. Из них с удовлетворением требования рассмотрено 3 739 дел (62,3%), </w:t>
      </w:r>
      <w:r>
        <w:rPr>
          <w:sz w:val="28"/>
          <w:szCs w:val="28"/>
        </w:rPr>
        <w:t xml:space="preserve">где </w:t>
      </w:r>
      <w:r w:rsidRPr="00313B1B">
        <w:rPr>
          <w:sz w:val="28"/>
          <w:szCs w:val="28"/>
        </w:rPr>
        <w:t>сумма, присужденная к взысканию по удовлетворенным искам, составила 35 228 </w:t>
      </w:r>
      <w:r w:rsidRPr="0036136D">
        <w:rPr>
          <w:sz w:val="28"/>
          <w:szCs w:val="28"/>
        </w:rPr>
        <w:t>861 руб.</w:t>
      </w:r>
    </w:p>
    <w:p w:rsidR="00163F80" w:rsidRPr="005429CD" w:rsidRDefault="00163F80" w:rsidP="00F73D42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36136D">
        <w:rPr>
          <w:sz w:val="28"/>
          <w:szCs w:val="28"/>
        </w:rPr>
        <w:t>Дела, возникающие из семейных правоотношений, составили 4 797 дел или 12,3% в структуре общего количества оконченных производством гражданских</w:t>
      </w:r>
      <w:r w:rsidRPr="00313B1B">
        <w:rPr>
          <w:sz w:val="28"/>
          <w:szCs w:val="28"/>
        </w:rPr>
        <w:t xml:space="preserve"> дел по первой инстанции (в 2023 году – 4 903 дела или 13,1%; в 2022 году – 9 392 дела или 26%),</w:t>
      </w:r>
      <w:r>
        <w:rPr>
          <w:sz w:val="28"/>
          <w:szCs w:val="28"/>
        </w:rPr>
        <w:t xml:space="preserve"> из них</w:t>
      </w:r>
      <w:r w:rsidRPr="00313B1B">
        <w:rPr>
          <w:sz w:val="28"/>
          <w:szCs w:val="28"/>
        </w:rPr>
        <w:t xml:space="preserve"> </w:t>
      </w:r>
      <w:r w:rsidRPr="005429CD">
        <w:rPr>
          <w:sz w:val="28"/>
          <w:szCs w:val="28"/>
        </w:rPr>
        <w:t xml:space="preserve">с удовлетворением требования рассмотрено 3 739 дел, возникающих из семейных </w:t>
      </w:r>
      <w:r w:rsidRPr="0036136D">
        <w:rPr>
          <w:sz w:val="28"/>
          <w:szCs w:val="28"/>
        </w:rPr>
        <w:t>правоотношений (77,9%) на</w:t>
      </w:r>
      <w:r w:rsidRPr="005429CD">
        <w:rPr>
          <w:sz w:val="28"/>
          <w:szCs w:val="28"/>
        </w:rPr>
        <w:t xml:space="preserve"> сумму 37 120 826 руб.</w:t>
      </w:r>
    </w:p>
    <w:p w:rsidR="00163F80" w:rsidRPr="00657132" w:rsidRDefault="00163F80" w:rsidP="008575CF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36136D">
        <w:rPr>
          <w:sz w:val="28"/>
          <w:szCs w:val="28"/>
        </w:rPr>
        <w:t>Количество дел, возникающих из жилищных правоотношений,</w:t>
      </w:r>
      <w:r w:rsidRPr="0036136D">
        <w:rPr>
          <w:sz w:val="28"/>
          <w:szCs w:val="28"/>
        </w:rPr>
        <w:br/>
      </w:r>
      <w:r w:rsidRPr="00901518">
        <w:rPr>
          <w:sz w:val="28"/>
          <w:szCs w:val="28"/>
        </w:rPr>
        <w:t>увеличилось на 1,3% (</w:t>
      </w:r>
      <w:r w:rsidRPr="00901518">
        <w:rPr>
          <w:sz w:val="28"/>
          <w:szCs w:val="28"/>
          <w:lang w:val="en-US"/>
        </w:rPr>
        <w:t>c</w:t>
      </w:r>
      <w:r w:rsidRPr="00901518">
        <w:rPr>
          <w:sz w:val="28"/>
          <w:szCs w:val="28"/>
        </w:rPr>
        <w:t xml:space="preserve"> 4 231 дела в 2023 году до 4</w:t>
      </w:r>
      <w:r>
        <w:rPr>
          <w:sz w:val="28"/>
          <w:szCs w:val="28"/>
        </w:rPr>
        <w:t> </w:t>
      </w:r>
      <w:r w:rsidRPr="00901518">
        <w:rPr>
          <w:sz w:val="28"/>
          <w:szCs w:val="28"/>
        </w:rPr>
        <w:t>288 дел в 2024 году). Из 4 288 дел с удовлетворением требования рассмотрено 3</w:t>
      </w:r>
      <w:r>
        <w:rPr>
          <w:sz w:val="28"/>
          <w:szCs w:val="28"/>
        </w:rPr>
        <w:t> </w:t>
      </w:r>
      <w:r w:rsidRPr="00901518">
        <w:rPr>
          <w:sz w:val="28"/>
          <w:szCs w:val="28"/>
        </w:rPr>
        <w:t>239</w:t>
      </w:r>
      <w:r>
        <w:rPr>
          <w:sz w:val="28"/>
          <w:szCs w:val="28"/>
        </w:rPr>
        <w:t xml:space="preserve"> дел</w:t>
      </w:r>
      <w:r w:rsidRPr="00901518">
        <w:rPr>
          <w:sz w:val="28"/>
          <w:szCs w:val="28"/>
        </w:rPr>
        <w:t xml:space="preserve"> (75,5%), где сумма, присужденная к взысканию по удовлетворенным искам, составила 157 115 949 руб. В структуре дел, возникающих из жилищных правоотношений, основную часть (54,6%) составляют дела о взыскании платы за жилую площадь и </w:t>
      </w:r>
      <w:r w:rsidRPr="00657132">
        <w:rPr>
          <w:sz w:val="28"/>
          <w:szCs w:val="28"/>
        </w:rPr>
        <w:t xml:space="preserve">коммунальные платежи, тепло и электроэнергию – 2 340 дел (в 2023 году– 2 315 дел; в 2022 году – 1 538 дел или 41,8%). Количество рассмотренных дел по спорам, возникающим по делам о выселении из жилого помещения, принадлежащего на праве собственности – 221 или 5,2% от общего количества рассмотренных гражданских дел, возникающих из жилищных правоотношений </w:t>
      </w:r>
      <w:r>
        <w:rPr>
          <w:sz w:val="28"/>
          <w:szCs w:val="28"/>
        </w:rPr>
        <w:br/>
      </w:r>
      <w:r w:rsidRPr="00657132">
        <w:rPr>
          <w:sz w:val="28"/>
          <w:szCs w:val="28"/>
        </w:rPr>
        <w:t xml:space="preserve">(в 2023 году – 194 дела или 4,6%; в 2022 году – 234 дела или 6,4%). </w:t>
      </w:r>
      <w:r>
        <w:rPr>
          <w:sz w:val="28"/>
          <w:szCs w:val="28"/>
        </w:rPr>
        <w:br/>
      </w:r>
      <w:r w:rsidRPr="00657132">
        <w:rPr>
          <w:sz w:val="28"/>
          <w:szCs w:val="28"/>
        </w:rPr>
        <w:t>С удовлетворением требования рассмотрено 143 дела или 64,7% от общего количества рассмотренных дел по спорам о выселении из жилого помещения, принадлежащего на праве собственности</w:t>
      </w:r>
      <w:r>
        <w:rPr>
          <w:sz w:val="28"/>
          <w:szCs w:val="28"/>
        </w:rPr>
        <w:t>.</w:t>
      </w:r>
      <w:r w:rsidRPr="0065713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3099C">
        <w:rPr>
          <w:sz w:val="28"/>
          <w:szCs w:val="28"/>
        </w:rPr>
        <w:t xml:space="preserve">умма, присужденная к взысканию по удовлетворенным искам, составила </w:t>
      </w:r>
      <w:r w:rsidRPr="00657132">
        <w:rPr>
          <w:sz w:val="28"/>
          <w:szCs w:val="28"/>
        </w:rPr>
        <w:t xml:space="preserve">134 038 руб. </w:t>
      </w:r>
    </w:p>
    <w:p w:rsidR="00163F80" w:rsidRPr="0003099C" w:rsidRDefault="00163F80" w:rsidP="009D577C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03099C">
        <w:rPr>
          <w:sz w:val="28"/>
          <w:szCs w:val="28"/>
        </w:rPr>
        <w:t xml:space="preserve">Иски о взыскании сумм по договору займа, кредитному договору </w:t>
      </w:r>
      <w:r w:rsidRPr="0003099C">
        <w:rPr>
          <w:sz w:val="28"/>
          <w:szCs w:val="28"/>
        </w:rPr>
        <w:br/>
        <w:t xml:space="preserve">в структуре рассмотренных гражданских дел составили 4 119 дел или 10,6% </w:t>
      </w:r>
      <w:r w:rsidRPr="0003099C">
        <w:rPr>
          <w:sz w:val="28"/>
          <w:szCs w:val="28"/>
        </w:rPr>
        <w:br/>
        <w:t>(в 2023 году – 3 433 дела или 9,2%; в 2022 году – 3 077 дел или 8,5%). Из которых с удовлетворением требования рассмотрено 3 286 дел или 79,8%, где сумма, присужденная к взысканию по удовлетворенным искам, составила 5 529 174</w:t>
      </w:r>
      <w:r>
        <w:rPr>
          <w:sz w:val="28"/>
          <w:szCs w:val="28"/>
        </w:rPr>
        <w:t> </w:t>
      </w:r>
      <w:r w:rsidRPr="0003099C">
        <w:rPr>
          <w:sz w:val="28"/>
          <w:szCs w:val="28"/>
        </w:rPr>
        <w:t>284</w:t>
      </w:r>
      <w:r>
        <w:rPr>
          <w:sz w:val="28"/>
          <w:szCs w:val="28"/>
        </w:rPr>
        <w:t xml:space="preserve"> </w:t>
      </w:r>
      <w:r w:rsidRPr="0003099C">
        <w:rPr>
          <w:sz w:val="28"/>
          <w:szCs w:val="28"/>
        </w:rPr>
        <w:t>руб.</w:t>
      </w:r>
    </w:p>
    <w:p w:rsidR="00163F80" w:rsidRPr="00144A1A" w:rsidRDefault="00163F80" w:rsidP="009D577C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923DDB">
        <w:rPr>
          <w:sz w:val="28"/>
          <w:szCs w:val="28"/>
        </w:rPr>
        <w:t xml:space="preserve">На 34,9% увеличилось количество дел о взыскании страхового возмещения </w:t>
      </w:r>
      <w:r w:rsidRPr="00144A1A">
        <w:rPr>
          <w:sz w:val="28"/>
          <w:szCs w:val="28"/>
        </w:rPr>
        <w:t>и составило 2 625 дел или 6,7% в структуре рассмотренных гражданских дел по первой инстанции (в 2023 году – 1 946 дел или 5,2%; в 2022 году – 1 367 дел или 3,8%). Из 2 625 дел о взыскании страхового возмещения с удовлетворением требования рассмотрено 1 655 дел (63%), где сумма, присужденная к взысканию по удовлетворенным искам, составила 183 004 085 руб.</w:t>
      </w:r>
    </w:p>
    <w:p w:rsidR="00163F80" w:rsidRPr="00803FBF" w:rsidRDefault="00163F80" w:rsidP="008575CF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144A1A">
        <w:rPr>
          <w:sz w:val="28"/>
          <w:szCs w:val="28"/>
        </w:rPr>
        <w:t xml:space="preserve">Количество дел о защите прав потребителей увеличилось на 71,2% </w:t>
      </w:r>
      <w:r>
        <w:rPr>
          <w:sz w:val="28"/>
          <w:szCs w:val="28"/>
        </w:rPr>
        <w:br/>
      </w:r>
      <w:r w:rsidRPr="00144A1A">
        <w:rPr>
          <w:sz w:val="28"/>
          <w:szCs w:val="28"/>
        </w:rPr>
        <w:t>и составило 1</w:t>
      </w:r>
      <w:r>
        <w:rPr>
          <w:sz w:val="28"/>
          <w:szCs w:val="28"/>
        </w:rPr>
        <w:t> </w:t>
      </w:r>
      <w:r w:rsidRPr="00144A1A">
        <w:rPr>
          <w:sz w:val="28"/>
          <w:szCs w:val="28"/>
        </w:rPr>
        <w:t xml:space="preserve">709 дел или 4,4% от общего количества оконченных производством гражданских дел по первой инстанции (в 2023 году – 998 дел или 2,7%; </w:t>
      </w:r>
      <w:r>
        <w:rPr>
          <w:sz w:val="28"/>
          <w:szCs w:val="28"/>
        </w:rPr>
        <w:br/>
      </w:r>
      <w:r w:rsidRPr="00144A1A">
        <w:rPr>
          <w:sz w:val="28"/>
          <w:szCs w:val="28"/>
        </w:rPr>
        <w:t>в 2022 году – 771 дело или 2,1%). Из 1</w:t>
      </w:r>
      <w:r>
        <w:rPr>
          <w:sz w:val="28"/>
          <w:szCs w:val="28"/>
        </w:rPr>
        <w:t> </w:t>
      </w:r>
      <w:r w:rsidRPr="00144A1A">
        <w:rPr>
          <w:sz w:val="28"/>
          <w:szCs w:val="28"/>
        </w:rPr>
        <w:t>709 дел о защите прав потребителей удовлетворено 1</w:t>
      </w:r>
      <w:r>
        <w:rPr>
          <w:sz w:val="28"/>
          <w:szCs w:val="28"/>
        </w:rPr>
        <w:t> </w:t>
      </w:r>
      <w:r w:rsidRPr="00144A1A">
        <w:rPr>
          <w:sz w:val="28"/>
          <w:szCs w:val="28"/>
        </w:rPr>
        <w:t xml:space="preserve">257 исковых требований или 73,7% на сумму 376 776 885 руб. Основная часть рассмотренных дел данной категории – </w:t>
      </w:r>
      <w:r w:rsidRPr="00C30099">
        <w:rPr>
          <w:sz w:val="28"/>
          <w:szCs w:val="28"/>
        </w:rPr>
        <w:t>иски из договоров в сфере торговли, услуг, выполнения работ – 1</w:t>
      </w:r>
      <w:r>
        <w:rPr>
          <w:sz w:val="28"/>
          <w:szCs w:val="28"/>
        </w:rPr>
        <w:t> </w:t>
      </w:r>
      <w:r w:rsidRPr="00C30099">
        <w:rPr>
          <w:sz w:val="28"/>
          <w:szCs w:val="28"/>
        </w:rPr>
        <w:t>512 дела или 88,5% (в 2023 году – 872 дела или 87,4%; в 2022 году – 609 дел или 79%). С удовлетворением требования по искам из договоров в сфере торговли и услуг рассмотрено 1</w:t>
      </w:r>
      <w:r>
        <w:rPr>
          <w:sz w:val="28"/>
          <w:szCs w:val="28"/>
        </w:rPr>
        <w:t> </w:t>
      </w:r>
      <w:r w:rsidRPr="00C30099">
        <w:rPr>
          <w:sz w:val="28"/>
          <w:szCs w:val="28"/>
        </w:rPr>
        <w:t xml:space="preserve">124 дела (74,3% от общего количества рассмотренных дел по искам из договоров в сфере торговли и услуг), сумма по удовлетворенным искам составила 50 169 446 руб. Иски из договоров с финансово-кредитными учреждениями составили 197 дел или 11,5% от общего количества дел о защите прав потребителей (в 2023 году – 126 дел или 12,6%; в 2022 году – 162 дел или 21%). С удовлетворением требования рассмотрено 133 дела или 67,5% от общего количества рассмотренных дел по искам из договоров с финансово-кредитными </w:t>
      </w:r>
      <w:r w:rsidRPr="00803FBF">
        <w:rPr>
          <w:sz w:val="28"/>
          <w:szCs w:val="28"/>
        </w:rPr>
        <w:t>учреждениями на сумму 326 607 439 руб.</w:t>
      </w:r>
    </w:p>
    <w:p w:rsidR="00163F80" w:rsidRPr="00803FBF" w:rsidRDefault="00163F80" w:rsidP="006970F8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803FBF">
        <w:rPr>
          <w:sz w:val="28"/>
          <w:szCs w:val="28"/>
        </w:rPr>
        <w:t xml:space="preserve">Количество споров, связанных с наследованием имущества, увеличилось </w:t>
      </w:r>
      <w:r w:rsidRPr="00803FBF">
        <w:rPr>
          <w:sz w:val="28"/>
          <w:szCs w:val="28"/>
        </w:rPr>
        <w:br/>
        <w:t>на 3,3% по сравнению с 2023 годом – с 738 дел до 762 дел. Из них с удовлетворением требования рассмотрено 516 дел (67,7%), сумма, присужденная к взысканию по удовлетворенным искам, составила 8</w:t>
      </w:r>
      <w:r>
        <w:rPr>
          <w:sz w:val="28"/>
          <w:szCs w:val="28"/>
        </w:rPr>
        <w:t> </w:t>
      </w:r>
      <w:r w:rsidRPr="00803FBF">
        <w:rPr>
          <w:sz w:val="28"/>
          <w:szCs w:val="28"/>
        </w:rPr>
        <w:t>771</w:t>
      </w:r>
      <w:r>
        <w:rPr>
          <w:sz w:val="28"/>
          <w:szCs w:val="28"/>
        </w:rPr>
        <w:t> </w:t>
      </w:r>
      <w:r w:rsidRPr="00803FBF">
        <w:rPr>
          <w:sz w:val="28"/>
          <w:szCs w:val="28"/>
        </w:rPr>
        <w:t>021 руб.</w:t>
      </w:r>
    </w:p>
    <w:p w:rsidR="00163F80" w:rsidRPr="00D4277B" w:rsidRDefault="00163F80" w:rsidP="008575CF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803FBF">
        <w:rPr>
          <w:sz w:val="28"/>
          <w:szCs w:val="28"/>
        </w:rPr>
        <w:t xml:space="preserve">Количество дел, возникающих из трудовых правоотношений, составило </w:t>
      </w:r>
      <w:r w:rsidRPr="00803FBF">
        <w:rPr>
          <w:sz w:val="28"/>
          <w:szCs w:val="28"/>
        </w:rPr>
        <w:br/>
      </w:r>
      <w:r w:rsidRPr="00EC03E8">
        <w:rPr>
          <w:sz w:val="28"/>
          <w:szCs w:val="28"/>
        </w:rPr>
        <w:t>564 или 1,4% от общего количества оконченных производством гражданских дел по первой инстанции (в 2023 году – 668</w:t>
      </w:r>
      <w:r>
        <w:rPr>
          <w:sz w:val="28"/>
          <w:szCs w:val="28"/>
        </w:rPr>
        <w:t xml:space="preserve"> дел</w:t>
      </w:r>
      <w:r w:rsidRPr="00EC03E8">
        <w:rPr>
          <w:sz w:val="28"/>
          <w:szCs w:val="28"/>
        </w:rPr>
        <w:t xml:space="preserve"> или 1,8%; в 2022 году – 701 дело или </w:t>
      </w:r>
      <w:r w:rsidRPr="006D70D7">
        <w:rPr>
          <w:sz w:val="28"/>
          <w:szCs w:val="28"/>
        </w:rPr>
        <w:t xml:space="preserve">1,9%). Из дел, возникающих из трудовых правоотношений, с удовлетворением требования рассмотрено 311 дел или 55,1%, где сумма, присужденная к взысканию по удовлетворенным искам, составила 76 938 856 руб. Основную часть из рассмотренных дел, возникающих из трудовых правоотношений, составляют дела о восстановлении на работе – 168 дел или 29,8% от общего количества оконченных производством дел, возникших из трудовых правоотношений (в 2023 </w:t>
      </w:r>
      <w:r w:rsidRPr="004C1A44">
        <w:rPr>
          <w:sz w:val="28"/>
          <w:szCs w:val="28"/>
        </w:rPr>
        <w:t xml:space="preserve">году –225 дел или 33,7%; </w:t>
      </w:r>
      <w:r>
        <w:rPr>
          <w:sz w:val="28"/>
          <w:szCs w:val="28"/>
        </w:rPr>
        <w:t>в 2022 году – 224 дела или 32</w:t>
      </w:r>
      <w:r w:rsidRPr="004C1A44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4C1A44">
        <w:rPr>
          <w:sz w:val="28"/>
          <w:szCs w:val="28"/>
        </w:rPr>
        <w:t xml:space="preserve">от общего количества оконченных производством дел, возникших из трудовых правоотношений). </w:t>
      </w:r>
      <w:r>
        <w:rPr>
          <w:sz w:val="28"/>
          <w:szCs w:val="28"/>
        </w:rPr>
        <w:br/>
      </w:r>
      <w:r w:rsidRPr="004C1A44">
        <w:rPr>
          <w:sz w:val="28"/>
          <w:szCs w:val="28"/>
        </w:rPr>
        <w:t xml:space="preserve">С удовлетворением заявленных требований рассмотрено 87 дел о восстановлении на работе или 51,8% от общего количества дел о восстановлении на работе или 15,4% от общего количества оконченных производством дел, возникших из трудовых правоотношений. </w:t>
      </w:r>
      <w:r w:rsidRPr="002B4A04">
        <w:rPr>
          <w:sz w:val="28"/>
          <w:szCs w:val="28"/>
        </w:rPr>
        <w:t>Количество рассмотренных дел по спорам об оплате труда составило 163 дел</w:t>
      </w:r>
      <w:r>
        <w:rPr>
          <w:sz w:val="28"/>
          <w:szCs w:val="28"/>
        </w:rPr>
        <w:t>а</w:t>
      </w:r>
      <w:r w:rsidRPr="002B4A04">
        <w:rPr>
          <w:sz w:val="28"/>
          <w:szCs w:val="28"/>
        </w:rPr>
        <w:t xml:space="preserve"> или 28,9% от общего количества оконченных производством дел, возникших из трудовых правоотношений (в 2023 году – 210 </w:t>
      </w:r>
      <w:r w:rsidRPr="00D4277B">
        <w:rPr>
          <w:sz w:val="28"/>
          <w:szCs w:val="28"/>
        </w:rPr>
        <w:t xml:space="preserve">дел или 31,4%; в 2022 году – 146 дел или 20,8%), из которых с удовлетворением требования рассмотрено 108 дел или 66,3% от общего количества рассмотренных дел по спорам об оплате труда или 19,1% от общего количества оконченных производством гражданских дел, возникших из трудовых правоотношений. </w:t>
      </w:r>
    </w:p>
    <w:p w:rsidR="00163F80" w:rsidRPr="00E50D8B" w:rsidRDefault="00163F80" w:rsidP="009D577C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  <w:highlight w:val="yellow"/>
        </w:rPr>
      </w:pPr>
      <w:r w:rsidRPr="00D4277B">
        <w:rPr>
          <w:sz w:val="28"/>
          <w:szCs w:val="28"/>
        </w:rPr>
        <w:t xml:space="preserve">Количество дел, вытекающих из нарушений пенсионного законодательства, </w:t>
      </w:r>
      <w:r w:rsidRPr="00D1371E">
        <w:rPr>
          <w:sz w:val="28"/>
          <w:szCs w:val="28"/>
        </w:rPr>
        <w:t>в сравнении с 202</w:t>
      </w:r>
      <w:r>
        <w:rPr>
          <w:sz w:val="28"/>
          <w:szCs w:val="28"/>
        </w:rPr>
        <w:t>3</w:t>
      </w:r>
      <w:r w:rsidRPr="00D1371E">
        <w:rPr>
          <w:sz w:val="28"/>
          <w:szCs w:val="28"/>
        </w:rPr>
        <w:t xml:space="preserve"> годом увеличилось и составило 598 или 1,5% от общего количества оконченных производством гражданских дел по первой инстанции </w:t>
      </w:r>
      <w:r w:rsidRPr="00D1371E">
        <w:rPr>
          <w:sz w:val="28"/>
          <w:szCs w:val="28"/>
        </w:rPr>
        <w:br/>
        <w:t xml:space="preserve">(в 2023 году – 583 или 1,6%; в 2022 году – 691 дело или 1,9%), из них </w:t>
      </w:r>
      <w:r>
        <w:rPr>
          <w:sz w:val="28"/>
          <w:szCs w:val="28"/>
        </w:rPr>
        <w:br/>
      </w:r>
      <w:r w:rsidRPr="00D1371E">
        <w:rPr>
          <w:sz w:val="28"/>
          <w:szCs w:val="28"/>
        </w:rPr>
        <w:t xml:space="preserve">с удовлетворением требования рассмотрено 405 дел или 67,7%, где сумма, </w:t>
      </w:r>
      <w:r w:rsidRPr="00E36850">
        <w:rPr>
          <w:sz w:val="28"/>
          <w:szCs w:val="28"/>
        </w:rPr>
        <w:t>присужденная к взысканию по удовлетворенным искам, составила 11 890 062 руб. При этом из общего количества дел, вытекающих из нарушений пенсионного законодательства, иски физических лиц к Пенсионному фонду Российской Федерации составили 55,2% или 330 дел (в 2023 году – 44,6% или 260 дел; в 2022 году – 58,8% или 406 дел). С удовлетворением требования по искам физических лиц к Пенсионному фонду Российской Федерации в 2024 году рассмотрено 233 дела или 70,6% на сумму 9 763 963 руб.</w:t>
      </w:r>
    </w:p>
    <w:p w:rsidR="00163F80" w:rsidRPr="00851584" w:rsidRDefault="00163F80" w:rsidP="00BE418E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851584">
        <w:rPr>
          <w:sz w:val="28"/>
          <w:szCs w:val="28"/>
        </w:rPr>
        <w:t>Следует отметить, что по социально значимым требованиям наблюдается значительный, а в ряде случаев, высокий уровень удовлетворения исков, и это свидетельствует о том, что районными (городскими) судами республики обеспечивается социальная направленность правосудия.</w:t>
      </w:r>
    </w:p>
    <w:p w:rsidR="00163F80" w:rsidRPr="00D94E22" w:rsidRDefault="00163F80" w:rsidP="009D577C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bookmarkStart w:id="5" w:name="_Toc326767793"/>
      <w:r w:rsidRPr="004C7B05">
        <w:rPr>
          <w:sz w:val="28"/>
          <w:szCs w:val="28"/>
        </w:rPr>
        <w:t xml:space="preserve">На </w:t>
      </w:r>
      <w:r>
        <w:rPr>
          <w:sz w:val="28"/>
          <w:szCs w:val="28"/>
        </w:rPr>
        <w:t>0</w:t>
      </w:r>
      <w:r w:rsidRPr="004C7B05">
        <w:rPr>
          <w:sz w:val="28"/>
          <w:szCs w:val="28"/>
        </w:rPr>
        <w:t xml:space="preserve">,4% уменьшилось количество гражданских дел, рассмотренных районными (городскими) судами республики в порядке апелляции (в 2024 году – </w:t>
      </w:r>
      <w:r>
        <w:rPr>
          <w:sz w:val="28"/>
          <w:szCs w:val="28"/>
        </w:rPr>
        <w:t>806</w:t>
      </w:r>
      <w:r w:rsidRPr="004C7B05">
        <w:rPr>
          <w:sz w:val="28"/>
          <w:szCs w:val="28"/>
        </w:rPr>
        <w:t xml:space="preserve"> дел, 2023 году – 809 дел, в 2022 году – 1 145 дел). Возвращено районными судами без рассмотрения 170 дел или 17,2% от поступивших в апелляционную </w:t>
      </w:r>
      <w:r w:rsidRPr="00597179">
        <w:rPr>
          <w:sz w:val="28"/>
          <w:szCs w:val="28"/>
        </w:rPr>
        <w:t>инстанцию дел (987) (в 2023 году – 177</w:t>
      </w:r>
      <w:r>
        <w:rPr>
          <w:sz w:val="28"/>
          <w:szCs w:val="28"/>
        </w:rPr>
        <w:t xml:space="preserve"> дел</w:t>
      </w:r>
      <w:r w:rsidRPr="00597179">
        <w:rPr>
          <w:sz w:val="28"/>
          <w:szCs w:val="28"/>
        </w:rPr>
        <w:t xml:space="preserve"> или 17,6%, в 2022 году – 201 дело или 15,2%). За 2024 год отменено и изменено 95 решений и определений мировых судей или 11,8% от рассмотренных районными (городскими) судами в порядке апелляции (в 2023 году –</w:t>
      </w:r>
      <w:r>
        <w:rPr>
          <w:sz w:val="28"/>
          <w:szCs w:val="28"/>
        </w:rPr>
        <w:t xml:space="preserve"> </w:t>
      </w:r>
      <w:r w:rsidRPr="00597179">
        <w:rPr>
          <w:sz w:val="28"/>
          <w:szCs w:val="28"/>
        </w:rPr>
        <w:t>74</w:t>
      </w:r>
      <w:r>
        <w:rPr>
          <w:sz w:val="28"/>
          <w:szCs w:val="28"/>
        </w:rPr>
        <w:t xml:space="preserve"> дела</w:t>
      </w:r>
      <w:r w:rsidRPr="00597179">
        <w:rPr>
          <w:sz w:val="28"/>
          <w:szCs w:val="28"/>
        </w:rPr>
        <w:t xml:space="preserve"> или 9,1%, в 2022 году – 111</w:t>
      </w:r>
      <w:r>
        <w:rPr>
          <w:sz w:val="28"/>
          <w:szCs w:val="28"/>
        </w:rPr>
        <w:t xml:space="preserve"> дел</w:t>
      </w:r>
      <w:r w:rsidRPr="00597179">
        <w:rPr>
          <w:sz w:val="28"/>
          <w:szCs w:val="28"/>
        </w:rPr>
        <w:t xml:space="preserve"> или 9,7%). </w:t>
      </w:r>
      <w:r>
        <w:rPr>
          <w:sz w:val="28"/>
          <w:szCs w:val="28"/>
        </w:rPr>
        <w:br/>
      </w:r>
      <w:r w:rsidRPr="00597179">
        <w:rPr>
          <w:sz w:val="28"/>
          <w:szCs w:val="28"/>
        </w:rPr>
        <w:t>В сроки, свыше установленных Гражданским процессуальным кодексом РФ, рассмотрено 64 дел</w:t>
      </w:r>
      <w:r>
        <w:rPr>
          <w:sz w:val="28"/>
          <w:szCs w:val="28"/>
        </w:rPr>
        <w:t>а</w:t>
      </w:r>
      <w:r w:rsidRPr="00597179">
        <w:rPr>
          <w:sz w:val="28"/>
          <w:szCs w:val="28"/>
        </w:rPr>
        <w:t xml:space="preserve"> или 7,9% от общего количества оконченных производством в апелляционной </w:t>
      </w:r>
      <w:r w:rsidRPr="00D94E22">
        <w:rPr>
          <w:sz w:val="28"/>
          <w:szCs w:val="28"/>
        </w:rPr>
        <w:t>инстанции дел, в 2023 году –</w:t>
      </w:r>
      <w:r>
        <w:rPr>
          <w:sz w:val="28"/>
          <w:szCs w:val="28"/>
        </w:rPr>
        <w:t xml:space="preserve"> </w:t>
      </w:r>
      <w:r w:rsidRPr="00D94E22">
        <w:rPr>
          <w:sz w:val="28"/>
          <w:szCs w:val="28"/>
        </w:rPr>
        <w:t>48 дел или 5,9%</w:t>
      </w:r>
      <w:r>
        <w:rPr>
          <w:sz w:val="28"/>
          <w:szCs w:val="28"/>
        </w:rPr>
        <w:t>,</w:t>
      </w:r>
      <w:r w:rsidRPr="00D94E22">
        <w:rPr>
          <w:sz w:val="28"/>
          <w:szCs w:val="28"/>
        </w:rPr>
        <w:t xml:space="preserve"> в 2022 году – 68 дел или 5,9%. </w:t>
      </w:r>
    </w:p>
    <w:p w:rsidR="00163F80" w:rsidRPr="00D94E22" w:rsidRDefault="00163F80" w:rsidP="00D71446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D94E22">
        <w:rPr>
          <w:sz w:val="28"/>
          <w:szCs w:val="28"/>
        </w:rPr>
        <w:t xml:space="preserve">Среднемесячная служебная нагрузка в расчете на одного судью </w:t>
      </w:r>
      <w:r w:rsidRPr="00D94E22">
        <w:rPr>
          <w:sz w:val="28"/>
          <w:szCs w:val="28"/>
        </w:rPr>
        <w:br/>
        <w:t xml:space="preserve">при рассмотрении гражданских дел по первой и апелляционной инстанциям </w:t>
      </w:r>
      <w:r w:rsidRPr="00D94E22">
        <w:rPr>
          <w:sz w:val="28"/>
          <w:szCs w:val="28"/>
        </w:rPr>
        <w:br/>
        <w:t xml:space="preserve">в республике увеличилась с 21,6 дел в 2023 году до 23,9 в 2024 году. Самая высокая среднемесячная нагрузка по рассмотрению гражданских дел по первой и апелляционной инстанциям в расчете на одного судью – в Карабудахкентском районном суде (79,7 дел), самая низкая – в Лакском районном суде (6,2 дел).  </w:t>
      </w:r>
    </w:p>
    <w:p w:rsidR="00163F80" w:rsidRPr="00AE112F" w:rsidRDefault="00163F80" w:rsidP="007B20A5">
      <w:pPr>
        <w:pStyle w:val="Heading1"/>
        <w:spacing w:before="0" w:after="120"/>
        <w:jc w:val="center"/>
        <w:rPr>
          <w:rFonts w:ascii="Times New Roman" w:hAnsi="Times New Roman" w:cs="Times New Roman"/>
        </w:rPr>
      </w:pPr>
      <w:r w:rsidRPr="00AE112F">
        <w:rPr>
          <w:rFonts w:ascii="Times New Roman" w:hAnsi="Times New Roman" w:cs="Times New Roman"/>
        </w:rPr>
        <w:t xml:space="preserve">Рассмотрение административных дел </w:t>
      </w:r>
    </w:p>
    <w:p w:rsidR="00163F80" w:rsidRPr="004C2DA3" w:rsidRDefault="00163F80" w:rsidP="001C6271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4C2DA3">
        <w:rPr>
          <w:sz w:val="28"/>
          <w:szCs w:val="28"/>
        </w:rPr>
        <w:t xml:space="preserve">В 2024 году районными (городскими) судами республики рассмотрено </w:t>
      </w:r>
      <w:r w:rsidRPr="004C2DA3">
        <w:rPr>
          <w:sz w:val="28"/>
          <w:szCs w:val="28"/>
        </w:rPr>
        <w:br/>
        <w:t>14 723 административных дел</w:t>
      </w:r>
      <w:r>
        <w:rPr>
          <w:sz w:val="28"/>
          <w:szCs w:val="28"/>
        </w:rPr>
        <w:t>а</w:t>
      </w:r>
      <w:r w:rsidRPr="004C2DA3">
        <w:rPr>
          <w:sz w:val="28"/>
          <w:szCs w:val="28"/>
        </w:rPr>
        <w:t xml:space="preserve"> по первой инстанции, что на 13,7% меньше, чем в 2023 году (17 058 дел). </w:t>
      </w:r>
    </w:p>
    <w:p w:rsidR="00163F80" w:rsidRDefault="00163F80" w:rsidP="001C6271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4C2DA3">
        <w:rPr>
          <w:sz w:val="28"/>
          <w:szCs w:val="28"/>
        </w:rPr>
        <w:t xml:space="preserve">С нарушением процессуальных сроков рассмотрено 419 дел, что на 53,7% меньше показателя 2023 года </w:t>
      </w:r>
      <w:r>
        <w:rPr>
          <w:sz w:val="28"/>
          <w:szCs w:val="28"/>
        </w:rPr>
        <w:t>(</w:t>
      </w:r>
      <w:r w:rsidRPr="004C2DA3">
        <w:rPr>
          <w:sz w:val="28"/>
          <w:szCs w:val="28"/>
        </w:rPr>
        <w:t xml:space="preserve">905 дел) и составляет 2,8% от общего количества оконченных производством административных дел по первой инстанции. </w:t>
      </w:r>
    </w:p>
    <w:p w:rsidR="00163F80" w:rsidRDefault="00163F80" w:rsidP="00055273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 w:rsidRPr="00A92371">
        <w:rPr>
          <w:noProof/>
          <w:sz w:val="28"/>
          <w:szCs w:val="28"/>
        </w:rPr>
        <w:pict>
          <v:shape id="Рисунок 8" o:spid="_x0000_i1031" type="#_x0000_t75" style="width:499.5pt;height:357pt;visibility:visible">
            <v:imagedata r:id="rId17" o:title=""/>
          </v:shape>
        </w:pict>
      </w:r>
    </w:p>
    <w:p w:rsidR="00163F80" w:rsidRDefault="00163F80" w:rsidP="001C6271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4C2DA3">
        <w:rPr>
          <w:sz w:val="28"/>
          <w:szCs w:val="28"/>
        </w:rPr>
        <w:t xml:space="preserve">В структуре рассмотренных по первой инстанции административных дел наибольшее количество составляют дела </w:t>
      </w:r>
      <w:r w:rsidRPr="007B475C">
        <w:rPr>
          <w:sz w:val="28"/>
          <w:szCs w:val="28"/>
        </w:rPr>
        <w:t>об оспаривании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</w:t>
      </w:r>
      <w:r>
        <w:rPr>
          <w:sz w:val="28"/>
          <w:szCs w:val="28"/>
        </w:rPr>
        <w:t>. В</w:t>
      </w:r>
      <w:r w:rsidRPr="007B475C">
        <w:rPr>
          <w:sz w:val="28"/>
          <w:szCs w:val="28"/>
        </w:rPr>
        <w:t xml:space="preserve"> 2024 году </w:t>
      </w:r>
      <w:r>
        <w:rPr>
          <w:sz w:val="28"/>
          <w:szCs w:val="28"/>
        </w:rPr>
        <w:t xml:space="preserve">таких дел </w:t>
      </w:r>
      <w:r w:rsidRPr="007B475C">
        <w:rPr>
          <w:sz w:val="28"/>
          <w:szCs w:val="28"/>
        </w:rPr>
        <w:t xml:space="preserve">рассмотрено 7 766 или 52,7% от общего </w:t>
      </w:r>
      <w:r w:rsidRPr="004C3974">
        <w:rPr>
          <w:sz w:val="28"/>
          <w:szCs w:val="28"/>
        </w:rPr>
        <w:t>количества оконченных производством административных дел по первой инстанции (в 2023 году – 5</w:t>
      </w:r>
      <w:r>
        <w:rPr>
          <w:sz w:val="28"/>
          <w:szCs w:val="28"/>
        </w:rPr>
        <w:t> </w:t>
      </w:r>
      <w:r w:rsidRPr="004C3974">
        <w:rPr>
          <w:sz w:val="28"/>
          <w:szCs w:val="28"/>
        </w:rPr>
        <w:t>494</w:t>
      </w:r>
      <w:r>
        <w:rPr>
          <w:sz w:val="28"/>
          <w:szCs w:val="28"/>
        </w:rPr>
        <w:t xml:space="preserve"> дела</w:t>
      </w:r>
      <w:r w:rsidRPr="004C3974">
        <w:rPr>
          <w:sz w:val="28"/>
          <w:szCs w:val="28"/>
        </w:rPr>
        <w:t xml:space="preserve"> или 32,2%; в 2022 году – 5 456 дел или 31,5%).</w:t>
      </w:r>
    </w:p>
    <w:p w:rsidR="00163F80" w:rsidRPr="004C2DA3" w:rsidRDefault="00163F80" w:rsidP="007F23A3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7B475C">
        <w:rPr>
          <w:sz w:val="28"/>
          <w:szCs w:val="28"/>
        </w:rPr>
        <w:t>Административных дел</w:t>
      </w:r>
      <w:r w:rsidRPr="004C2DA3">
        <w:rPr>
          <w:sz w:val="28"/>
          <w:szCs w:val="28"/>
        </w:rPr>
        <w:t xml:space="preserve"> о взыскании </w:t>
      </w:r>
      <w:r>
        <w:rPr>
          <w:sz w:val="28"/>
          <w:szCs w:val="28"/>
        </w:rPr>
        <w:t>денежных сумм в счет уплаты установленных законом обязательных платежей</w:t>
      </w:r>
      <w:r w:rsidRPr="004C2DA3">
        <w:rPr>
          <w:sz w:val="28"/>
          <w:szCs w:val="28"/>
        </w:rPr>
        <w:t xml:space="preserve"> и санкций </w:t>
      </w:r>
      <w:r>
        <w:rPr>
          <w:sz w:val="28"/>
          <w:szCs w:val="28"/>
        </w:rPr>
        <w:t xml:space="preserve">в 2024 году рассмотрено </w:t>
      </w:r>
      <w:r w:rsidRPr="004C2DA3">
        <w:rPr>
          <w:sz w:val="28"/>
          <w:szCs w:val="28"/>
        </w:rPr>
        <w:t>– 4 739 дел или 32,2% (в 2023 году – 9 504 дела или 55,7%</w:t>
      </w:r>
      <w:r>
        <w:rPr>
          <w:sz w:val="28"/>
          <w:szCs w:val="28"/>
        </w:rPr>
        <w:t>;</w:t>
      </w:r>
      <w:r w:rsidRPr="004C2DA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C2DA3">
        <w:rPr>
          <w:sz w:val="28"/>
          <w:szCs w:val="28"/>
        </w:rPr>
        <w:t>в 2022 году – 9 345 дел или 54%).</w:t>
      </w:r>
    </w:p>
    <w:p w:rsidR="00163F80" w:rsidRPr="004C3974" w:rsidRDefault="00163F80" w:rsidP="001C6271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4C3974">
        <w:rPr>
          <w:sz w:val="28"/>
          <w:szCs w:val="28"/>
        </w:rPr>
        <w:t>Административных дел об административном надзоре за лицами, освобожденными из мест лишения свободы, рассмотрено 504 или 3,4% от общего количества оконченных производством административных дел по первой инстанции (в 2023 году –</w:t>
      </w:r>
      <w:r>
        <w:rPr>
          <w:sz w:val="28"/>
          <w:szCs w:val="28"/>
        </w:rPr>
        <w:t xml:space="preserve"> </w:t>
      </w:r>
      <w:r w:rsidRPr="004C3974">
        <w:rPr>
          <w:sz w:val="28"/>
          <w:szCs w:val="28"/>
        </w:rPr>
        <w:t>482</w:t>
      </w:r>
      <w:r>
        <w:rPr>
          <w:sz w:val="28"/>
          <w:szCs w:val="28"/>
        </w:rPr>
        <w:t xml:space="preserve"> дела</w:t>
      </w:r>
      <w:r w:rsidRPr="004C3974">
        <w:rPr>
          <w:sz w:val="28"/>
          <w:szCs w:val="28"/>
        </w:rPr>
        <w:t xml:space="preserve"> или 2,8%; в 2022 году – 430 дел или 2,5%).</w:t>
      </w:r>
    </w:p>
    <w:p w:rsidR="00163F80" w:rsidRPr="000C24C4" w:rsidRDefault="00163F80" w:rsidP="001C6271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4C3974">
        <w:rPr>
          <w:sz w:val="28"/>
          <w:szCs w:val="28"/>
        </w:rPr>
        <w:t xml:space="preserve">Административных дел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психиатрическом освидетельствовании </w:t>
      </w:r>
      <w:r w:rsidRPr="000C24C4">
        <w:rPr>
          <w:sz w:val="28"/>
          <w:szCs w:val="28"/>
        </w:rPr>
        <w:t>гражданина в недобровольном порядке, рассмотрено 287 или 1,9% от общего количества оконченных производством административных дел по первой инстанции (в 2023году – 308</w:t>
      </w:r>
      <w:r>
        <w:rPr>
          <w:sz w:val="28"/>
          <w:szCs w:val="28"/>
        </w:rPr>
        <w:t xml:space="preserve"> дел</w:t>
      </w:r>
      <w:r w:rsidRPr="000C24C4">
        <w:rPr>
          <w:sz w:val="28"/>
          <w:szCs w:val="28"/>
        </w:rPr>
        <w:t xml:space="preserve"> или 1,8%; в 2022 году – 188 дел или 1,1%).</w:t>
      </w:r>
    </w:p>
    <w:p w:rsidR="00163F80" w:rsidRPr="000C24C4" w:rsidRDefault="00163F80" w:rsidP="001C6271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0C24C4">
        <w:rPr>
          <w:sz w:val="28"/>
          <w:szCs w:val="28"/>
        </w:rPr>
        <w:t xml:space="preserve">Административных дел о признании информации, распространяемой посредством ИТ-сетей, в том числе сети Интернет, информацией, распространение которой в Российской Федерации запрещено (кроме экстремистских материалов) рассмотрено 110 или 0,7% от общего количества оконченных производством административных дел по первой инстанции </w:t>
      </w:r>
      <w:r w:rsidRPr="000C24C4">
        <w:rPr>
          <w:sz w:val="28"/>
          <w:szCs w:val="28"/>
        </w:rPr>
        <w:br/>
        <w:t>(в 2023 году – 288</w:t>
      </w:r>
      <w:r>
        <w:rPr>
          <w:sz w:val="28"/>
          <w:szCs w:val="28"/>
        </w:rPr>
        <w:t xml:space="preserve"> дел</w:t>
      </w:r>
      <w:r w:rsidRPr="000C24C4">
        <w:rPr>
          <w:sz w:val="28"/>
          <w:szCs w:val="28"/>
        </w:rPr>
        <w:t xml:space="preserve"> или 1,7%</w:t>
      </w:r>
      <w:r>
        <w:rPr>
          <w:sz w:val="28"/>
          <w:szCs w:val="28"/>
        </w:rPr>
        <w:t>;</w:t>
      </w:r>
      <w:r w:rsidRPr="000C24C4">
        <w:rPr>
          <w:sz w:val="28"/>
          <w:szCs w:val="28"/>
        </w:rPr>
        <w:t xml:space="preserve"> в 2022 году – 784 дела или 4,5%).</w:t>
      </w:r>
    </w:p>
    <w:p w:rsidR="00163F80" w:rsidRPr="007A693A" w:rsidRDefault="00163F80" w:rsidP="001C6271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7A693A">
        <w:rPr>
          <w:sz w:val="28"/>
          <w:szCs w:val="28"/>
        </w:rPr>
        <w:t xml:space="preserve">По сравнению с предыдущим годом на 25,9% увеличилось количество административных дел, рассмотренных районными (городскими) судами республики в порядке апелляции (в 2024 году – 73 дела; в 2023 году – 58 дел; </w:t>
      </w:r>
      <w:r>
        <w:rPr>
          <w:sz w:val="28"/>
          <w:szCs w:val="28"/>
        </w:rPr>
        <w:br/>
      </w:r>
      <w:r w:rsidRPr="007A693A">
        <w:rPr>
          <w:sz w:val="28"/>
          <w:szCs w:val="28"/>
        </w:rPr>
        <w:t>в 2022 году – 446 дел). Возвращено районными судами без рассмотрения 34 дела или 37,4% от поступивших</w:t>
      </w:r>
      <w:r>
        <w:rPr>
          <w:sz w:val="28"/>
          <w:szCs w:val="28"/>
        </w:rPr>
        <w:t xml:space="preserve"> апелляционных</w:t>
      </w:r>
      <w:r w:rsidRPr="007A693A">
        <w:rPr>
          <w:sz w:val="28"/>
          <w:szCs w:val="28"/>
        </w:rPr>
        <w:t xml:space="preserve"> дел (91) (в 2023 году – 9 дел или 13,4%; в 2022 году – 28 дел или 5,9%). </w:t>
      </w:r>
    </w:p>
    <w:p w:rsidR="00163F80" w:rsidRPr="00926E3C" w:rsidRDefault="00163F80" w:rsidP="001C6271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926E3C">
        <w:rPr>
          <w:sz w:val="28"/>
          <w:szCs w:val="28"/>
        </w:rPr>
        <w:t xml:space="preserve">Среднемесячная служебная нагрузка в расчете на одного судью </w:t>
      </w:r>
      <w:r w:rsidRPr="00926E3C">
        <w:rPr>
          <w:sz w:val="28"/>
          <w:szCs w:val="28"/>
        </w:rPr>
        <w:br/>
        <w:t xml:space="preserve">при рассмотрении административных дел по первой и апелляционной инстанциям в республике уменьшилась на 7,3% в сравнении с 2023 годом (с 9,6 до 8,9 дел). Самая высокая среднемесячная нагрузка по рассмотрению административных дел по первой и апелляционной инстанциям в расчете на одного судью – </w:t>
      </w:r>
      <w:r w:rsidRPr="00926E3C">
        <w:rPr>
          <w:sz w:val="28"/>
          <w:szCs w:val="28"/>
        </w:rPr>
        <w:br/>
        <w:t>в Каспийском городском суде (24,9</w:t>
      </w:r>
      <w:r>
        <w:rPr>
          <w:sz w:val="28"/>
          <w:szCs w:val="28"/>
        </w:rPr>
        <w:t xml:space="preserve"> </w:t>
      </w:r>
      <w:r w:rsidRPr="00926E3C">
        <w:rPr>
          <w:sz w:val="28"/>
          <w:szCs w:val="28"/>
        </w:rPr>
        <w:t>дел</w:t>
      </w:r>
      <w:r>
        <w:rPr>
          <w:sz w:val="28"/>
          <w:szCs w:val="28"/>
        </w:rPr>
        <w:t>а</w:t>
      </w:r>
      <w:r w:rsidRPr="00926E3C">
        <w:rPr>
          <w:sz w:val="28"/>
          <w:szCs w:val="28"/>
        </w:rPr>
        <w:t>), Карабудахкентском районном суде (22,9 дел</w:t>
      </w:r>
      <w:r>
        <w:rPr>
          <w:sz w:val="28"/>
          <w:szCs w:val="28"/>
        </w:rPr>
        <w:t>а</w:t>
      </w:r>
      <w:r w:rsidRPr="00926E3C">
        <w:rPr>
          <w:sz w:val="28"/>
          <w:szCs w:val="28"/>
        </w:rPr>
        <w:t xml:space="preserve">), самая низкая – в Лакском районном суде (2,4 дела).  </w:t>
      </w:r>
    </w:p>
    <w:p w:rsidR="00163F80" w:rsidRPr="00621385" w:rsidRDefault="00163F80" w:rsidP="001C6271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</w:p>
    <w:p w:rsidR="00163F80" w:rsidRPr="00621385" w:rsidRDefault="00163F80" w:rsidP="002C0976">
      <w:pPr>
        <w:tabs>
          <w:tab w:val="left" w:pos="9180"/>
          <w:tab w:val="center" w:pos="9360"/>
        </w:tabs>
        <w:spacing w:after="120"/>
        <w:jc w:val="center"/>
        <w:rPr>
          <w:b/>
          <w:bCs/>
          <w:sz w:val="28"/>
          <w:szCs w:val="28"/>
        </w:rPr>
      </w:pPr>
      <w:r w:rsidRPr="00621385">
        <w:rPr>
          <w:b/>
          <w:bCs/>
          <w:sz w:val="28"/>
          <w:szCs w:val="28"/>
        </w:rPr>
        <w:t xml:space="preserve">Рассмотрение дел об административных правонарушениях </w:t>
      </w:r>
    </w:p>
    <w:p w:rsidR="00163F80" w:rsidRPr="00D16C72" w:rsidRDefault="00163F80" w:rsidP="001C3AFF">
      <w:pPr>
        <w:ind w:firstLine="709"/>
        <w:jc w:val="both"/>
        <w:rPr>
          <w:sz w:val="28"/>
          <w:szCs w:val="28"/>
        </w:rPr>
      </w:pPr>
      <w:r w:rsidRPr="00621385">
        <w:rPr>
          <w:sz w:val="28"/>
          <w:szCs w:val="28"/>
        </w:rPr>
        <w:t>За 2024 год судьями районных (городских) судов республики рассмотрено 7</w:t>
      </w:r>
      <w:r>
        <w:rPr>
          <w:sz w:val="28"/>
          <w:szCs w:val="28"/>
        </w:rPr>
        <w:t> </w:t>
      </w:r>
      <w:r w:rsidRPr="00621385">
        <w:rPr>
          <w:sz w:val="28"/>
          <w:szCs w:val="28"/>
        </w:rPr>
        <w:t>935</w:t>
      </w:r>
      <w:r>
        <w:rPr>
          <w:sz w:val="28"/>
          <w:szCs w:val="28"/>
        </w:rPr>
        <w:t xml:space="preserve"> </w:t>
      </w:r>
      <w:r w:rsidRPr="00621385">
        <w:rPr>
          <w:sz w:val="28"/>
          <w:szCs w:val="28"/>
        </w:rPr>
        <w:t xml:space="preserve">дел об административных правонарушениях по первой инстанции, количество дел в сравнении с предыдущим годом уменьшилось на 12,5% </w:t>
      </w:r>
      <w:r w:rsidRPr="00621385">
        <w:rPr>
          <w:sz w:val="28"/>
          <w:szCs w:val="28"/>
        </w:rPr>
        <w:br/>
        <w:t xml:space="preserve">(в 2023 году – 9 070 дел; в 2022 году – 120 648 дел). </w:t>
      </w:r>
      <w:r w:rsidRPr="00D16C72">
        <w:rPr>
          <w:sz w:val="28"/>
          <w:szCs w:val="28"/>
        </w:rPr>
        <w:t>К тому же районными (городскими) судами республики в 2024 году было рассмотрено 4 820 жалоб на постановления по делам об административных правонарушениях, что на 102 жалобы или на 1,5% больше, чем</w:t>
      </w:r>
      <w:r>
        <w:rPr>
          <w:sz w:val="28"/>
          <w:szCs w:val="28"/>
        </w:rPr>
        <w:t xml:space="preserve"> в 2023 году</w:t>
      </w:r>
      <w:r w:rsidRPr="00D16C72">
        <w:rPr>
          <w:sz w:val="28"/>
          <w:szCs w:val="28"/>
        </w:rPr>
        <w:t xml:space="preserve"> (в 2023 году </w:t>
      </w:r>
      <w:r>
        <w:rPr>
          <w:sz w:val="28"/>
          <w:szCs w:val="28"/>
        </w:rPr>
        <w:t>–</w:t>
      </w:r>
      <w:r w:rsidRPr="00D16C72">
        <w:rPr>
          <w:sz w:val="28"/>
          <w:szCs w:val="28"/>
        </w:rPr>
        <w:t xml:space="preserve"> 4</w:t>
      </w:r>
      <w:r>
        <w:rPr>
          <w:sz w:val="28"/>
          <w:szCs w:val="28"/>
        </w:rPr>
        <w:t> </w:t>
      </w:r>
      <w:r w:rsidRPr="00D16C72">
        <w:rPr>
          <w:sz w:val="28"/>
          <w:szCs w:val="28"/>
        </w:rPr>
        <w:t>718</w:t>
      </w:r>
      <w:r>
        <w:rPr>
          <w:sz w:val="28"/>
          <w:szCs w:val="28"/>
        </w:rPr>
        <w:t xml:space="preserve"> дел</w:t>
      </w:r>
      <w:r w:rsidRPr="00D16C72">
        <w:rPr>
          <w:sz w:val="28"/>
          <w:szCs w:val="28"/>
        </w:rPr>
        <w:t>; в 2022 году 4</w:t>
      </w:r>
      <w:r>
        <w:rPr>
          <w:sz w:val="28"/>
          <w:szCs w:val="28"/>
        </w:rPr>
        <w:t> </w:t>
      </w:r>
      <w:r w:rsidRPr="00D16C72">
        <w:rPr>
          <w:sz w:val="28"/>
          <w:szCs w:val="28"/>
        </w:rPr>
        <w:t>646</w:t>
      </w:r>
      <w:r>
        <w:rPr>
          <w:sz w:val="28"/>
          <w:szCs w:val="28"/>
        </w:rPr>
        <w:t xml:space="preserve"> дел</w:t>
      </w:r>
      <w:r w:rsidRPr="00D16C72">
        <w:rPr>
          <w:sz w:val="28"/>
          <w:szCs w:val="28"/>
        </w:rPr>
        <w:t>).</w:t>
      </w:r>
    </w:p>
    <w:p w:rsidR="00163F80" w:rsidRPr="00F662EC" w:rsidRDefault="00163F80" w:rsidP="0090369D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F662EC">
        <w:rPr>
          <w:sz w:val="28"/>
          <w:szCs w:val="28"/>
        </w:rPr>
        <w:t xml:space="preserve">Количество дел, рассмотренных с нарушением установленных процессуальных сроков (ст. 29.6 КоАП РФ), составило 77 или 0,9% от общего количества рассмотренных дел об административных правонарушениях </w:t>
      </w:r>
      <w:r w:rsidRPr="00F662EC">
        <w:rPr>
          <w:sz w:val="28"/>
          <w:szCs w:val="28"/>
        </w:rPr>
        <w:br/>
        <w:t>(в 2023 году – 91</w:t>
      </w:r>
      <w:r>
        <w:rPr>
          <w:sz w:val="28"/>
          <w:szCs w:val="28"/>
        </w:rPr>
        <w:t xml:space="preserve"> дело</w:t>
      </w:r>
      <w:r w:rsidRPr="00F662EC">
        <w:rPr>
          <w:sz w:val="28"/>
          <w:szCs w:val="28"/>
        </w:rPr>
        <w:t xml:space="preserve"> или 1%; в 2022 году – 1</w:t>
      </w:r>
      <w:r>
        <w:rPr>
          <w:sz w:val="28"/>
          <w:szCs w:val="28"/>
        </w:rPr>
        <w:t> </w:t>
      </w:r>
      <w:r w:rsidRPr="00F662EC">
        <w:rPr>
          <w:sz w:val="28"/>
          <w:szCs w:val="28"/>
        </w:rPr>
        <w:t>417</w:t>
      </w:r>
      <w:r>
        <w:rPr>
          <w:sz w:val="28"/>
          <w:szCs w:val="28"/>
        </w:rPr>
        <w:t xml:space="preserve"> дел</w:t>
      </w:r>
      <w:r w:rsidRPr="00F662EC">
        <w:rPr>
          <w:sz w:val="28"/>
          <w:szCs w:val="28"/>
        </w:rPr>
        <w:t xml:space="preserve"> или 1,2%). </w:t>
      </w:r>
    </w:p>
    <w:p w:rsidR="00163F80" w:rsidRPr="00561EFE" w:rsidRDefault="00163F80" w:rsidP="009D577C">
      <w:pPr>
        <w:tabs>
          <w:tab w:val="left" w:pos="9180"/>
          <w:tab w:val="center" w:pos="9360"/>
        </w:tabs>
        <w:ind w:firstLine="709"/>
        <w:jc w:val="both"/>
        <w:rPr>
          <w:sz w:val="28"/>
          <w:szCs w:val="28"/>
        </w:rPr>
      </w:pPr>
      <w:r w:rsidRPr="005E60D4">
        <w:rPr>
          <w:sz w:val="28"/>
          <w:szCs w:val="28"/>
        </w:rPr>
        <w:t xml:space="preserve">Результаты рассмотрения дел об административных правонарушениях </w:t>
      </w:r>
      <w:r>
        <w:rPr>
          <w:sz w:val="28"/>
          <w:szCs w:val="28"/>
        </w:rPr>
        <w:br/>
      </w:r>
      <w:r w:rsidRPr="005E60D4">
        <w:rPr>
          <w:sz w:val="28"/>
          <w:szCs w:val="28"/>
        </w:rPr>
        <w:t xml:space="preserve">по первой инстанции распределяются следующим образом (по числу лиц): подвергнуто наказаниям 7 217 лиц или 91% от общего числа лиц по оконченным производством делам об административных правонарушениях (в 2023 году – 8 363 лица или 92,2%; в 2022 году – 105 822 лица или 87,7%); производство прекращено, в том числе освобождено от административной ответственности, </w:t>
      </w:r>
      <w:r>
        <w:rPr>
          <w:sz w:val="28"/>
          <w:szCs w:val="28"/>
        </w:rPr>
        <w:br/>
      </w:r>
      <w:r w:rsidRPr="005E60D4">
        <w:rPr>
          <w:sz w:val="28"/>
          <w:szCs w:val="28"/>
        </w:rPr>
        <w:t xml:space="preserve">в отношении 136 лиц или 1,7% (в 2023 году – 229 лиц или 2,5%; в 2022 году – 11 655 лиц или 9,7%); дела переданы по подведомственности в </w:t>
      </w:r>
      <w:r w:rsidRPr="00561EFE">
        <w:rPr>
          <w:sz w:val="28"/>
          <w:szCs w:val="28"/>
        </w:rPr>
        <w:t xml:space="preserve">отношении </w:t>
      </w:r>
      <w:r>
        <w:rPr>
          <w:sz w:val="28"/>
          <w:szCs w:val="28"/>
        </w:rPr>
        <w:br/>
      </w:r>
      <w:r w:rsidRPr="00561EFE">
        <w:rPr>
          <w:sz w:val="28"/>
          <w:szCs w:val="28"/>
        </w:rPr>
        <w:t>277 лиц или 3,5% (в 2023 году –</w:t>
      </w:r>
      <w:r>
        <w:rPr>
          <w:sz w:val="28"/>
          <w:szCs w:val="28"/>
        </w:rPr>
        <w:t xml:space="preserve"> </w:t>
      </w:r>
      <w:r w:rsidRPr="00561EFE">
        <w:rPr>
          <w:sz w:val="28"/>
          <w:szCs w:val="28"/>
        </w:rPr>
        <w:t>237 лиц или 2,6%; в 2022 году – 1 600 лиц или 1,3%); дела возвращены для устранения недостатков протоколов (п. 4 ч.1 ст. 29.4. КоАП РФ</w:t>
      </w:r>
      <w:r>
        <w:rPr>
          <w:sz w:val="28"/>
          <w:szCs w:val="28"/>
        </w:rPr>
        <w:t>)</w:t>
      </w:r>
      <w:r w:rsidRPr="00561EFE">
        <w:rPr>
          <w:sz w:val="28"/>
          <w:szCs w:val="28"/>
        </w:rPr>
        <w:t xml:space="preserve"> в отношении 305 лиц или 3,8% (в 2023 году – 241 лиц или 2,7%; </w:t>
      </w:r>
      <w:r>
        <w:rPr>
          <w:sz w:val="28"/>
          <w:szCs w:val="28"/>
        </w:rPr>
        <w:br/>
      </w:r>
      <w:r w:rsidRPr="00561EFE">
        <w:rPr>
          <w:sz w:val="28"/>
          <w:szCs w:val="28"/>
        </w:rPr>
        <w:t xml:space="preserve">в 2022 году – 1 570 лиц или 1,3%). </w:t>
      </w:r>
    </w:p>
    <w:p w:rsidR="00163F80" w:rsidRPr="00561EFE" w:rsidRDefault="00163F80" w:rsidP="009D577C">
      <w:pPr>
        <w:ind w:firstLine="709"/>
        <w:jc w:val="both"/>
        <w:rPr>
          <w:sz w:val="28"/>
          <w:szCs w:val="28"/>
        </w:rPr>
      </w:pPr>
      <w:r w:rsidRPr="00561EFE">
        <w:rPr>
          <w:sz w:val="28"/>
          <w:szCs w:val="28"/>
        </w:rPr>
        <w:t xml:space="preserve">Структура видов наказаний за административные правонарушения следующая: </w:t>
      </w:r>
    </w:p>
    <w:p w:rsidR="00163F80" w:rsidRPr="00E50D8B" w:rsidRDefault="00163F80" w:rsidP="005C3D65">
      <w:pPr>
        <w:ind w:firstLine="709"/>
        <w:jc w:val="both"/>
        <w:rPr>
          <w:sz w:val="28"/>
          <w:szCs w:val="28"/>
          <w:highlight w:val="yellow"/>
        </w:rPr>
      </w:pPr>
      <w:r w:rsidRPr="00561EFE">
        <w:rPr>
          <w:sz w:val="28"/>
          <w:szCs w:val="28"/>
        </w:rPr>
        <w:t>штраф применен в отношении 5 138 лиц или 71,2% от общего числа лиц, подвергнутых наказанию (в 2023 году –</w:t>
      </w:r>
      <w:r>
        <w:rPr>
          <w:sz w:val="28"/>
          <w:szCs w:val="28"/>
        </w:rPr>
        <w:t xml:space="preserve"> </w:t>
      </w:r>
      <w:r w:rsidRPr="00561EFE">
        <w:rPr>
          <w:sz w:val="28"/>
          <w:szCs w:val="28"/>
        </w:rPr>
        <w:t>5 109 лиц или 61,1%; в 2022 году – 11 272 лиц или 10,7%). Сумма наложенных штрафов по вынесенным постановлениям в 2024 году составила 37</w:t>
      </w:r>
      <w:r w:rsidRPr="00561EFE">
        <w:rPr>
          <w:sz w:val="28"/>
          <w:szCs w:val="28"/>
          <w:lang w:val="en-US"/>
        </w:rPr>
        <w:t> </w:t>
      </w:r>
      <w:r w:rsidRPr="00561EFE">
        <w:rPr>
          <w:sz w:val="28"/>
          <w:szCs w:val="28"/>
        </w:rPr>
        <w:t>225 390 руб.</w:t>
      </w:r>
      <w:r>
        <w:rPr>
          <w:sz w:val="28"/>
          <w:szCs w:val="28"/>
        </w:rPr>
        <w:t>;</w:t>
      </w:r>
    </w:p>
    <w:p w:rsidR="00163F80" w:rsidRPr="00242CE6" w:rsidRDefault="00163F80" w:rsidP="005C3D65">
      <w:pPr>
        <w:ind w:firstLine="709"/>
        <w:jc w:val="both"/>
        <w:rPr>
          <w:sz w:val="28"/>
          <w:szCs w:val="28"/>
        </w:rPr>
      </w:pPr>
      <w:r w:rsidRPr="00242CE6">
        <w:rPr>
          <w:sz w:val="28"/>
          <w:szCs w:val="28"/>
        </w:rPr>
        <w:t xml:space="preserve">административный арест применен в отношении 1 529 лиц или 21,2% </w:t>
      </w:r>
      <w:r w:rsidRPr="00242CE6">
        <w:rPr>
          <w:sz w:val="28"/>
          <w:szCs w:val="28"/>
        </w:rPr>
        <w:br/>
        <w:t>(в 2023 году – 2 322 лиц или 27,8%; в 2022 году – 2 013 лиц или 1,9%);</w:t>
      </w:r>
    </w:p>
    <w:p w:rsidR="00163F80" w:rsidRPr="00C76BDA" w:rsidRDefault="00163F80" w:rsidP="005C3D65">
      <w:pPr>
        <w:ind w:firstLine="709"/>
        <w:jc w:val="both"/>
        <w:rPr>
          <w:sz w:val="28"/>
          <w:szCs w:val="28"/>
        </w:rPr>
      </w:pPr>
      <w:r w:rsidRPr="00242CE6">
        <w:rPr>
          <w:sz w:val="28"/>
          <w:szCs w:val="28"/>
        </w:rPr>
        <w:t xml:space="preserve">конфискация орудия совершения или предмета административного правонарушения: в качестве единственного вида наказания применена в отношении 309 лиц или 4,3% (в 2023 году – 431 лица или 5,2%; в 2022 году – 153 лиц или 0,1%), в качестве дополнительного наказания применена в отношении 37 лиц или 0,5% (в 2023 году – 37 лиц или 0,4%; в 2022 году – в отношении 28 </w:t>
      </w:r>
      <w:r w:rsidRPr="00C76BDA">
        <w:rPr>
          <w:sz w:val="28"/>
          <w:szCs w:val="28"/>
        </w:rPr>
        <w:t>лиц);</w:t>
      </w:r>
    </w:p>
    <w:p w:rsidR="00163F80" w:rsidRPr="001B6A91" w:rsidRDefault="00163F80" w:rsidP="00802920">
      <w:pPr>
        <w:ind w:firstLine="709"/>
        <w:jc w:val="both"/>
        <w:rPr>
          <w:sz w:val="28"/>
          <w:szCs w:val="28"/>
        </w:rPr>
      </w:pPr>
      <w:r w:rsidRPr="00C76BDA">
        <w:rPr>
          <w:sz w:val="28"/>
          <w:szCs w:val="28"/>
        </w:rPr>
        <w:t xml:space="preserve">предупреждение применено в отношении 46 лиц или 0,6% (в 2023 году – </w:t>
      </w:r>
      <w:r w:rsidRPr="001B6A91">
        <w:rPr>
          <w:sz w:val="28"/>
          <w:szCs w:val="28"/>
        </w:rPr>
        <w:t>248 лиц или 3%; в 2022 году – 92 198 лиц или 87,1%);</w:t>
      </w:r>
    </w:p>
    <w:p w:rsidR="00163F80" w:rsidRPr="001B6A91" w:rsidRDefault="00163F80" w:rsidP="005C3D65">
      <w:pPr>
        <w:ind w:firstLine="709"/>
        <w:jc w:val="both"/>
        <w:rPr>
          <w:sz w:val="28"/>
          <w:szCs w:val="28"/>
        </w:rPr>
      </w:pPr>
      <w:r w:rsidRPr="001B6A91">
        <w:rPr>
          <w:sz w:val="28"/>
          <w:szCs w:val="28"/>
        </w:rPr>
        <w:t xml:space="preserve">обязательные работы назначены 18 лицам или 0,2% (в 2023 году </w:t>
      </w:r>
      <w:r>
        <w:rPr>
          <w:sz w:val="28"/>
          <w:szCs w:val="28"/>
        </w:rPr>
        <w:t>–</w:t>
      </w:r>
      <w:r w:rsidRPr="001B6A91">
        <w:rPr>
          <w:sz w:val="28"/>
          <w:szCs w:val="28"/>
        </w:rPr>
        <w:t xml:space="preserve"> 142 лицам или 1,7%</w:t>
      </w:r>
      <w:r>
        <w:rPr>
          <w:sz w:val="28"/>
          <w:szCs w:val="28"/>
        </w:rPr>
        <w:t>;</w:t>
      </w:r>
      <w:r w:rsidRPr="001B6A91">
        <w:rPr>
          <w:sz w:val="28"/>
          <w:szCs w:val="28"/>
        </w:rPr>
        <w:t xml:space="preserve"> в 2022 году – 40 лиц</w:t>
      </w:r>
      <w:r>
        <w:rPr>
          <w:sz w:val="28"/>
          <w:szCs w:val="28"/>
        </w:rPr>
        <w:t>ам</w:t>
      </w:r>
      <w:r w:rsidRPr="001B6A91">
        <w:rPr>
          <w:sz w:val="28"/>
          <w:szCs w:val="28"/>
        </w:rPr>
        <w:t xml:space="preserve"> или 0,02%);</w:t>
      </w:r>
    </w:p>
    <w:p w:rsidR="00163F80" w:rsidRPr="00533AEA" w:rsidRDefault="00163F80" w:rsidP="004D2242">
      <w:pPr>
        <w:ind w:firstLine="709"/>
        <w:jc w:val="both"/>
        <w:rPr>
          <w:sz w:val="28"/>
          <w:szCs w:val="28"/>
        </w:rPr>
      </w:pPr>
      <w:r w:rsidRPr="00533AEA">
        <w:rPr>
          <w:sz w:val="28"/>
          <w:szCs w:val="28"/>
        </w:rPr>
        <w:t xml:space="preserve">приостановление деятельности юридических лиц и лиц, осуществляющих предпринимательскую деятельность, применено в отношении 62 лиц или 0,8% </w:t>
      </w:r>
      <w:r w:rsidRPr="00533AEA">
        <w:rPr>
          <w:sz w:val="28"/>
          <w:szCs w:val="28"/>
        </w:rPr>
        <w:br/>
        <w:t>(в 2023 году – 88 лиц или 1,1%; в 2022 году – 120 лиц или 0,1%);</w:t>
      </w:r>
    </w:p>
    <w:p w:rsidR="00163F80" w:rsidRPr="00533AEA" w:rsidRDefault="00163F80" w:rsidP="009C4BDF">
      <w:pPr>
        <w:ind w:firstLine="709"/>
        <w:jc w:val="both"/>
        <w:rPr>
          <w:sz w:val="28"/>
          <w:szCs w:val="28"/>
        </w:rPr>
      </w:pPr>
      <w:r w:rsidRPr="009C4BDF">
        <w:rPr>
          <w:sz w:val="28"/>
          <w:szCs w:val="28"/>
        </w:rPr>
        <w:t>административное выдворение за пределы Российской Федерации иностранного гражданина или лица без гражданства</w:t>
      </w:r>
      <w:r>
        <w:rPr>
          <w:sz w:val="28"/>
          <w:szCs w:val="28"/>
        </w:rPr>
        <w:t xml:space="preserve"> </w:t>
      </w:r>
      <w:r w:rsidRPr="009C4BDF">
        <w:rPr>
          <w:sz w:val="28"/>
          <w:szCs w:val="28"/>
        </w:rPr>
        <w:t>(как единственная мера наказания</w:t>
      </w:r>
      <w:r w:rsidRPr="00A81014">
        <w:rPr>
          <w:sz w:val="28"/>
          <w:szCs w:val="28"/>
        </w:rPr>
        <w:t>) назначено 108 лицам или 1,5% (в 2023 году – 15 лицам или 0,1%; в 2022 году – 14 лицам или 0,1%), в качестве дополнительного наказания – 1073 лицам или  14,9% (в 2023 году - 771 лицу или 9,2% ; в 2022 году – 443 лицам или 0,4%);</w:t>
      </w:r>
    </w:p>
    <w:p w:rsidR="00163F80" w:rsidRDefault="00163F80" w:rsidP="00FB4528">
      <w:pPr>
        <w:ind w:firstLine="709"/>
        <w:jc w:val="both"/>
        <w:rPr>
          <w:sz w:val="28"/>
          <w:szCs w:val="28"/>
        </w:rPr>
      </w:pPr>
      <w:r w:rsidRPr="00533AEA">
        <w:rPr>
          <w:sz w:val="28"/>
          <w:szCs w:val="28"/>
        </w:rPr>
        <w:t>лишение специального права, предоставленного физическому лицу, применено в отношении 7 лиц или 0,09% (в 2023 году – 5 лиц или 0,1%; в 2022 году – 11 лиц или 0,005%)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163F80" w:rsidRDefault="00163F80" w:rsidP="00796F2B">
      <w:pPr>
        <w:jc w:val="center"/>
        <w:rPr>
          <w:sz w:val="28"/>
          <w:szCs w:val="28"/>
        </w:rPr>
      </w:pPr>
      <w:r w:rsidRPr="00A92371">
        <w:rPr>
          <w:noProof/>
          <w:sz w:val="28"/>
          <w:szCs w:val="28"/>
        </w:rPr>
        <w:pict>
          <v:shape id="Рисунок 9" o:spid="_x0000_i1032" type="#_x0000_t75" style="width:501pt;height:181.5pt;visibility:visible">
            <v:imagedata r:id="rId18" o:title=""/>
          </v:shape>
        </w:pict>
      </w:r>
    </w:p>
    <w:p w:rsidR="00163F80" w:rsidRPr="00807BA8" w:rsidRDefault="00163F80" w:rsidP="00734807">
      <w:pPr>
        <w:ind w:firstLine="709"/>
        <w:jc w:val="both"/>
        <w:rPr>
          <w:sz w:val="28"/>
          <w:szCs w:val="28"/>
        </w:rPr>
      </w:pPr>
      <w:r w:rsidRPr="00137C1E">
        <w:rPr>
          <w:sz w:val="28"/>
          <w:szCs w:val="28"/>
        </w:rPr>
        <w:t xml:space="preserve">В структуре рассмотренных районными (городскими) судами республики дел об административных правонарушениях по первой инстанции самая </w:t>
      </w:r>
      <w:r w:rsidRPr="00D232E8">
        <w:rPr>
          <w:sz w:val="28"/>
          <w:szCs w:val="28"/>
        </w:rPr>
        <w:t>значительная доля пришлась на правонарушения, посягающие на общественный порядок и безопасность (глава 20 КоАП РФ). Количество таких дел составило 2 781 или 35% в структуре рассмотренных судами дел об административных правонарушениях по первой инстанции (в 2023 году – 3 865 или 42,6%; в 2022 году – 116 257 или 96,4%)</w:t>
      </w:r>
      <w:r>
        <w:rPr>
          <w:sz w:val="28"/>
          <w:szCs w:val="28"/>
        </w:rPr>
        <w:t>.</w:t>
      </w:r>
      <w:r w:rsidRPr="00D232E8">
        <w:rPr>
          <w:sz w:val="28"/>
          <w:szCs w:val="28"/>
        </w:rPr>
        <w:t xml:space="preserve"> Количество дел этой категории в сравнении с 2023 годом уменьшилось на 28%. По данной категории дел подвергнуто административным наказаниям 2 597 лиц или 93,4% от общего числа лиц, </w:t>
      </w:r>
      <w:r>
        <w:rPr>
          <w:sz w:val="28"/>
          <w:szCs w:val="28"/>
        </w:rPr>
        <w:br/>
      </w:r>
      <w:r w:rsidRPr="00D232E8">
        <w:rPr>
          <w:sz w:val="28"/>
          <w:szCs w:val="28"/>
        </w:rPr>
        <w:t>в отношении которых были рассмотрены дела об административных правонарушениях по статьям главы 20 КоАП РФ (в 2023 году – 3 697 лиц или 95,7%; в 2022 году – 102</w:t>
      </w:r>
      <w:r>
        <w:rPr>
          <w:sz w:val="28"/>
          <w:szCs w:val="28"/>
        </w:rPr>
        <w:t> </w:t>
      </w:r>
      <w:r w:rsidRPr="00D232E8">
        <w:rPr>
          <w:sz w:val="28"/>
          <w:szCs w:val="28"/>
        </w:rPr>
        <w:t>145</w:t>
      </w:r>
      <w:r>
        <w:rPr>
          <w:sz w:val="28"/>
          <w:szCs w:val="28"/>
        </w:rPr>
        <w:t xml:space="preserve"> лиц</w:t>
      </w:r>
      <w:r w:rsidRPr="00D232E8">
        <w:rPr>
          <w:sz w:val="28"/>
          <w:szCs w:val="28"/>
        </w:rPr>
        <w:t xml:space="preserve"> или 87,9%), </w:t>
      </w:r>
      <w:r w:rsidRPr="008426FF">
        <w:rPr>
          <w:sz w:val="28"/>
          <w:szCs w:val="28"/>
        </w:rPr>
        <w:t>из них:</w:t>
      </w:r>
      <w:r w:rsidRPr="00C73B6A">
        <w:rPr>
          <w:sz w:val="28"/>
          <w:szCs w:val="28"/>
        </w:rPr>
        <w:t xml:space="preserve"> к штрафу </w:t>
      </w:r>
      <w:r w:rsidRPr="008426FF">
        <w:rPr>
          <w:sz w:val="28"/>
          <w:szCs w:val="28"/>
        </w:rPr>
        <w:t xml:space="preserve">–1 635 лиц или 62,9% (в 2023 году –1 804 лица или 48,8%; в 2022 году – 8 735 лиц или 8,6%); </w:t>
      </w:r>
      <w:r w:rsidRPr="00C73B6A">
        <w:rPr>
          <w:sz w:val="28"/>
          <w:szCs w:val="28"/>
        </w:rPr>
        <w:t>административному аресту</w:t>
      </w:r>
      <w:r w:rsidRPr="00E207F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E207F3">
        <w:rPr>
          <w:sz w:val="28"/>
          <w:szCs w:val="28"/>
        </w:rPr>
        <w:t>935 лиц или 33,6% (в 2023 году – 1 574 лица или 42,6%; в 2022 году – 1 359 лиц или 1,3%); предупреждению –</w:t>
      </w:r>
      <w:r>
        <w:rPr>
          <w:sz w:val="28"/>
          <w:szCs w:val="28"/>
        </w:rPr>
        <w:t xml:space="preserve"> </w:t>
      </w:r>
      <w:r w:rsidRPr="00E207F3">
        <w:rPr>
          <w:sz w:val="28"/>
          <w:szCs w:val="28"/>
        </w:rPr>
        <w:t>1 лицо (в 2023 году – 191 лицо или 5,2%; в 2022 году</w:t>
      </w:r>
      <w:r>
        <w:rPr>
          <w:sz w:val="28"/>
          <w:szCs w:val="28"/>
        </w:rPr>
        <w:t xml:space="preserve"> –</w:t>
      </w:r>
      <w:r w:rsidRPr="00E207F3">
        <w:rPr>
          <w:sz w:val="28"/>
          <w:szCs w:val="28"/>
        </w:rPr>
        <w:t xml:space="preserve"> 91 972 лиц</w:t>
      </w:r>
      <w:r>
        <w:rPr>
          <w:sz w:val="28"/>
          <w:szCs w:val="28"/>
        </w:rPr>
        <w:t>а</w:t>
      </w:r>
      <w:r w:rsidRPr="00E207F3">
        <w:rPr>
          <w:sz w:val="28"/>
          <w:szCs w:val="28"/>
        </w:rPr>
        <w:t xml:space="preserve"> или 90,1%); обязательным работам – 17 лиц или 0,6% (в 2023 году – 128 лиц или 3,4%</w:t>
      </w:r>
      <w:r>
        <w:rPr>
          <w:sz w:val="28"/>
          <w:szCs w:val="28"/>
        </w:rPr>
        <w:t xml:space="preserve">; </w:t>
      </w:r>
      <w:r w:rsidRPr="00E207F3">
        <w:rPr>
          <w:sz w:val="28"/>
          <w:szCs w:val="28"/>
        </w:rPr>
        <w:t xml:space="preserve">в 2022 году – 38 лиц или 0,04%); </w:t>
      </w:r>
      <w:r w:rsidRPr="00011486">
        <w:rPr>
          <w:sz w:val="28"/>
          <w:szCs w:val="28"/>
        </w:rPr>
        <w:t xml:space="preserve">административное приостановление деятельности как мера наказания была назначена 3 лицам </w:t>
      </w:r>
      <w:r>
        <w:rPr>
          <w:sz w:val="28"/>
          <w:szCs w:val="28"/>
        </w:rPr>
        <w:t>(</w:t>
      </w:r>
      <w:r w:rsidRPr="00011486">
        <w:rPr>
          <w:sz w:val="28"/>
          <w:szCs w:val="28"/>
        </w:rPr>
        <w:t>в 2023 году не назначалась</w:t>
      </w:r>
      <w:r>
        <w:rPr>
          <w:sz w:val="28"/>
          <w:szCs w:val="28"/>
        </w:rPr>
        <w:t>,</w:t>
      </w:r>
      <w:r w:rsidRPr="00011486">
        <w:rPr>
          <w:sz w:val="28"/>
          <w:szCs w:val="28"/>
        </w:rPr>
        <w:t xml:space="preserve"> в 2022 году – 19 лиц</w:t>
      </w:r>
      <w:r>
        <w:rPr>
          <w:sz w:val="28"/>
          <w:szCs w:val="28"/>
        </w:rPr>
        <w:t>ам</w:t>
      </w:r>
      <w:r w:rsidRPr="00011486">
        <w:rPr>
          <w:sz w:val="28"/>
          <w:szCs w:val="28"/>
        </w:rPr>
        <w:t xml:space="preserve">); </w:t>
      </w:r>
      <w:r w:rsidRPr="00807BA8">
        <w:rPr>
          <w:sz w:val="28"/>
          <w:szCs w:val="28"/>
        </w:rPr>
        <w:t>административное выдворение за пределы Российской Федерации иностранного граж</w:t>
      </w:r>
      <w:r>
        <w:rPr>
          <w:sz w:val="28"/>
          <w:szCs w:val="28"/>
        </w:rPr>
        <w:t>данина или лица без гражданства</w:t>
      </w:r>
      <w:r w:rsidRPr="00807BA8">
        <w:rPr>
          <w:sz w:val="28"/>
          <w:szCs w:val="28"/>
        </w:rPr>
        <w:t xml:space="preserve"> (как единственная мера наказания) </w:t>
      </w:r>
      <w:r>
        <w:rPr>
          <w:sz w:val="28"/>
          <w:szCs w:val="28"/>
        </w:rPr>
        <w:t>назначена</w:t>
      </w:r>
      <w:r w:rsidRPr="00807BA8">
        <w:rPr>
          <w:sz w:val="28"/>
          <w:szCs w:val="28"/>
        </w:rPr>
        <w:t xml:space="preserve"> 6 лиц</w:t>
      </w:r>
      <w:r>
        <w:rPr>
          <w:sz w:val="28"/>
          <w:szCs w:val="28"/>
        </w:rPr>
        <w:t>ам или 0,2%</w:t>
      </w:r>
      <w:r w:rsidRPr="00807B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07BA8">
        <w:rPr>
          <w:sz w:val="28"/>
          <w:szCs w:val="28"/>
        </w:rPr>
        <w:t>в 2023 году не назначалась</w:t>
      </w:r>
      <w:r>
        <w:rPr>
          <w:sz w:val="28"/>
          <w:szCs w:val="28"/>
        </w:rPr>
        <w:t>;</w:t>
      </w:r>
      <w:r w:rsidRPr="00807BA8">
        <w:rPr>
          <w:sz w:val="28"/>
          <w:szCs w:val="28"/>
        </w:rPr>
        <w:t xml:space="preserve"> в 2022 году – 1 лиц</w:t>
      </w:r>
      <w:r>
        <w:rPr>
          <w:sz w:val="28"/>
          <w:szCs w:val="28"/>
        </w:rPr>
        <w:t>у);</w:t>
      </w:r>
      <w:r w:rsidRPr="00FF5FB5">
        <w:rPr>
          <w:sz w:val="28"/>
          <w:szCs w:val="28"/>
        </w:rPr>
        <w:t xml:space="preserve"> </w:t>
      </w:r>
      <w:r w:rsidRPr="00011486">
        <w:rPr>
          <w:sz w:val="28"/>
          <w:szCs w:val="28"/>
        </w:rPr>
        <w:t xml:space="preserve">дисквалификация как мера </w:t>
      </w:r>
      <w:r w:rsidRPr="00807BA8">
        <w:rPr>
          <w:sz w:val="28"/>
          <w:szCs w:val="28"/>
        </w:rPr>
        <w:t>наказания не назначалась</w:t>
      </w:r>
      <w:r>
        <w:rPr>
          <w:sz w:val="28"/>
          <w:szCs w:val="28"/>
        </w:rPr>
        <w:t xml:space="preserve"> в 2023-2024 гг.</w:t>
      </w:r>
      <w:r w:rsidRPr="00807BA8">
        <w:rPr>
          <w:sz w:val="28"/>
          <w:szCs w:val="28"/>
        </w:rPr>
        <w:t xml:space="preserve"> (в 2022 году – 1 лицо); </w:t>
      </w:r>
      <w:r w:rsidRPr="00011486">
        <w:rPr>
          <w:sz w:val="28"/>
          <w:szCs w:val="28"/>
        </w:rPr>
        <w:t>конфискации орудия совершения или предмета административного правонарушения (как единственная мера наказания) не назначалась как вид наказания</w:t>
      </w:r>
      <w:r>
        <w:rPr>
          <w:sz w:val="28"/>
          <w:szCs w:val="28"/>
        </w:rPr>
        <w:t xml:space="preserve"> в 2023-2024 гг.</w:t>
      </w:r>
      <w:r w:rsidRPr="00011486">
        <w:rPr>
          <w:sz w:val="28"/>
          <w:szCs w:val="28"/>
        </w:rPr>
        <w:t xml:space="preserve"> (в 2022 году – 20 лиц</w:t>
      </w:r>
      <w:r>
        <w:rPr>
          <w:sz w:val="28"/>
          <w:szCs w:val="28"/>
        </w:rPr>
        <w:t>).</w:t>
      </w:r>
    </w:p>
    <w:bookmarkEnd w:id="5"/>
    <w:p w:rsidR="00163F80" w:rsidRPr="00AC5906" w:rsidRDefault="00163F80" w:rsidP="005F2971">
      <w:pPr>
        <w:ind w:firstLine="709"/>
        <w:jc w:val="both"/>
        <w:rPr>
          <w:sz w:val="28"/>
          <w:szCs w:val="28"/>
        </w:rPr>
      </w:pPr>
      <w:r w:rsidRPr="00807BA8">
        <w:rPr>
          <w:sz w:val="28"/>
          <w:szCs w:val="28"/>
        </w:rPr>
        <w:t>Дела об административных правонарушениях в области защиты государственной границы Российской Федерации и обеспечения режима пребывания иностранных граждан и лиц без гражданства на территории Российской Федерации (глава 18 КоАП РФ), составили 27,5% в структуре рассмотренных дел об административных правонарушениях по первой инстанции (2</w:t>
      </w:r>
      <w:r>
        <w:rPr>
          <w:sz w:val="28"/>
          <w:szCs w:val="28"/>
        </w:rPr>
        <w:t> </w:t>
      </w:r>
      <w:r w:rsidRPr="00807BA8">
        <w:rPr>
          <w:sz w:val="28"/>
          <w:szCs w:val="28"/>
        </w:rPr>
        <w:t>182</w:t>
      </w:r>
      <w:r>
        <w:rPr>
          <w:sz w:val="28"/>
          <w:szCs w:val="28"/>
        </w:rPr>
        <w:t xml:space="preserve"> дела</w:t>
      </w:r>
      <w:r w:rsidRPr="00807BA8">
        <w:rPr>
          <w:sz w:val="28"/>
          <w:szCs w:val="28"/>
        </w:rPr>
        <w:t>). Количество таких дел в сравнении с 202</w:t>
      </w:r>
      <w:r>
        <w:rPr>
          <w:sz w:val="28"/>
          <w:szCs w:val="28"/>
        </w:rPr>
        <w:t>3</w:t>
      </w:r>
      <w:r w:rsidRPr="00807BA8">
        <w:rPr>
          <w:sz w:val="28"/>
          <w:szCs w:val="28"/>
        </w:rPr>
        <w:t xml:space="preserve"> годом увеличилось на 15,4% (в </w:t>
      </w:r>
      <w:r w:rsidRPr="00AC5906">
        <w:rPr>
          <w:sz w:val="28"/>
          <w:szCs w:val="28"/>
        </w:rPr>
        <w:t xml:space="preserve">2023 году – 1 890 дел или 20,8%; в 2022 году – 852 дела или 0,7%). </w:t>
      </w:r>
      <w:r>
        <w:rPr>
          <w:sz w:val="28"/>
          <w:szCs w:val="28"/>
        </w:rPr>
        <w:br/>
      </w:r>
      <w:r w:rsidRPr="00AC5906">
        <w:rPr>
          <w:sz w:val="28"/>
          <w:szCs w:val="28"/>
        </w:rPr>
        <w:t>По данной категории дел подвергнуто административным наказаниям 2</w:t>
      </w:r>
      <w:r>
        <w:rPr>
          <w:sz w:val="28"/>
          <w:szCs w:val="28"/>
        </w:rPr>
        <w:t> </w:t>
      </w:r>
      <w:r w:rsidRPr="00AC5906">
        <w:rPr>
          <w:sz w:val="28"/>
          <w:szCs w:val="28"/>
        </w:rPr>
        <w:t xml:space="preserve">069 лиц или </w:t>
      </w:r>
      <w:r>
        <w:rPr>
          <w:sz w:val="28"/>
          <w:szCs w:val="28"/>
        </w:rPr>
        <w:t>94,8%</w:t>
      </w:r>
      <w:r w:rsidRPr="00AC5906">
        <w:rPr>
          <w:sz w:val="28"/>
          <w:szCs w:val="28"/>
        </w:rPr>
        <w:t xml:space="preserve"> (из них –</w:t>
      </w:r>
      <w:r>
        <w:rPr>
          <w:sz w:val="28"/>
          <w:szCs w:val="28"/>
        </w:rPr>
        <w:t xml:space="preserve"> </w:t>
      </w:r>
      <w:r w:rsidRPr="00AC5906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AC5906">
        <w:rPr>
          <w:sz w:val="28"/>
          <w:szCs w:val="28"/>
        </w:rPr>
        <w:t>953 лица или 94,4% подвергнуты штрафу, 102 лица или 4,9%</w:t>
      </w:r>
      <w:r>
        <w:rPr>
          <w:sz w:val="28"/>
          <w:szCs w:val="28"/>
        </w:rPr>
        <w:t xml:space="preserve"> </w:t>
      </w:r>
      <w:r w:rsidRPr="00AC590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5906">
        <w:rPr>
          <w:sz w:val="28"/>
          <w:szCs w:val="28"/>
        </w:rPr>
        <w:t>выдворению</w:t>
      </w:r>
      <w:r>
        <w:rPr>
          <w:sz w:val="28"/>
          <w:szCs w:val="28"/>
        </w:rPr>
        <w:t xml:space="preserve"> </w:t>
      </w:r>
      <w:r w:rsidRPr="00AC5906">
        <w:rPr>
          <w:sz w:val="28"/>
          <w:szCs w:val="28"/>
        </w:rPr>
        <w:t xml:space="preserve">(как единственному виду наказания), 5 лиц или 0,2% –предупреждению, 8 лиц или 0,4% – административному приостановлению деятельности). </w:t>
      </w:r>
    </w:p>
    <w:p w:rsidR="00163F80" w:rsidRPr="00AE59C6" w:rsidRDefault="00163F80" w:rsidP="00BA1D30">
      <w:pPr>
        <w:ind w:firstLine="709"/>
        <w:jc w:val="both"/>
        <w:rPr>
          <w:sz w:val="28"/>
          <w:szCs w:val="28"/>
        </w:rPr>
      </w:pPr>
      <w:r w:rsidRPr="00AC5906">
        <w:rPr>
          <w:sz w:val="28"/>
          <w:szCs w:val="28"/>
        </w:rPr>
        <w:t xml:space="preserve">Административные правонарушения против порядка управления (глава 19 </w:t>
      </w:r>
      <w:r w:rsidRPr="002B3142">
        <w:rPr>
          <w:sz w:val="28"/>
          <w:szCs w:val="28"/>
        </w:rPr>
        <w:t>КоАП) составили 21,1% в структуре рассмотренных дел об административных правонарушениях по первой инстанции (1 652 дел</w:t>
      </w:r>
      <w:r>
        <w:rPr>
          <w:sz w:val="28"/>
          <w:szCs w:val="28"/>
        </w:rPr>
        <w:t>а</w:t>
      </w:r>
      <w:r w:rsidRPr="002B3142">
        <w:rPr>
          <w:sz w:val="28"/>
          <w:szCs w:val="28"/>
        </w:rPr>
        <w:t xml:space="preserve">). По данной категории дел подвергнуто административным наказаниям 1 559 лиц или 94,4% от общего числа лиц, в отношении которых были рассмотрены дела об административных правонарушениях по статьям главы 19 КоАП РФ, </w:t>
      </w:r>
      <w:r w:rsidRPr="00043848">
        <w:rPr>
          <w:sz w:val="28"/>
          <w:szCs w:val="28"/>
        </w:rPr>
        <w:t xml:space="preserve">из них 966 лиц или 62% – штрафу, </w:t>
      </w:r>
      <w:r w:rsidRPr="00AE59C6">
        <w:rPr>
          <w:sz w:val="28"/>
          <w:szCs w:val="28"/>
        </w:rPr>
        <w:t xml:space="preserve">586 лиц или 37,6% – административному аресту, 4 лица или 0,3% – </w:t>
      </w:r>
      <w:r w:rsidRPr="00AE59C6">
        <w:rPr>
          <w:sz w:val="28"/>
          <w:szCs w:val="28"/>
        </w:rPr>
        <w:br/>
        <w:t>к предупреждению</w:t>
      </w:r>
      <w:r>
        <w:rPr>
          <w:sz w:val="28"/>
          <w:szCs w:val="28"/>
        </w:rPr>
        <w:t xml:space="preserve"> </w:t>
      </w:r>
      <w:r w:rsidRPr="00AE59C6">
        <w:rPr>
          <w:sz w:val="28"/>
          <w:szCs w:val="28"/>
        </w:rPr>
        <w:t>(письменное).</w:t>
      </w:r>
    </w:p>
    <w:p w:rsidR="00163F80" w:rsidRPr="00E50D8B" w:rsidRDefault="00163F80" w:rsidP="005F2971">
      <w:pPr>
        <w:ind w:firstLine="709"/>
        <w:jc w:val="both"/>
        <w:rPr>
          <w:sz w:val="28"/>
          <w:szCs w:val="28"/>
          <w:highlight w:val="yellow"/>
        </w:rPr>
      </w:pPr>
      <w:r w:rsidRPr="00C33048">
        <w:rPr>
          <w:sz w:val="28"/>
          <w:szCs w:val="28"/>
        </w:rPr>
        <w:t xml:space="preserve">Рассмотрено 408 дел об административных правонарушениях в области таможенного дела (глава 16 КоАП РФ) или 5,1% в структуре рассмотренных дел об административных правонарушениях по первой инстанции. По данной категории дел подвергнуто наказанию 379 лиц или 92,9% от общего числа лиц по </w:t>
      </w:r>
      <w:r w:rsidRPr="000E605B">
        <w:rPr>
          <w:sz w:val="28"/>
          <w:szCs w:val="28"/>
        </w:rPr>
        <w:t>рассмотренным делам об административных правонарушениях по статьям главы 16 КоАП РФ, из них 308 лиц или 81,3% – конфискации в качестве административной меры наказания, 69 лиц или 18,2% – штрафу, 2 лица</w:t>
      </w:r>
      <w:r>
        <w:rPr>
          <w:sz w:val="28"/>
          <w:szCs w:val="28"/>
        </w:rPr>
        <w:t xml:space="preserve"> или</w:t>
      </w:r>
      <w:r w:rsidRPr="000E605B">
        <w:rPr>
          <w:sz w:val="28"/>
          <w:szCs w:val="28"/>
        </w:rPr>
        <w:t xml:space="preserve"> 0,5% – предупреждению. </w:t>
      </w:r>
    </w:p>
    <w:p w:rsidR="00163F80" w:rsidRPr="00C31085" w:rsidRDefault="00163F80" w:rsidP="005F2971">
      <w:pPr>
        <w:ind w:firstLine="709"/>
        <w:jc w:val="both"/>
        <w:rPr>
          <w:sz w:val="28"/>
          <w:szCs w:val="28"/>
        </w:rPr>
      </w:pPr>
      <w:r w:rsidRPr="00C31085">
        <w:rPr>
          <w:sz w:val="28"/>
          <w:szCs w:val="28"/>
        </w:rPr>
        <w:t xml:space="preserve">Рассмотрено 405 дел об административных правонарушениях в области дорожного движения (глава 12 КоАП РФ) или 5,1% в структуре рассмотренных дел об административных правонарушениях по первой инстанции (в 2023 году –399 дел или 4,4%; в 2022 году – 358 дел или 0,3%). Привлечено к ответственности 266 лиц или 65,7% в структуре лиц, подвергнутых наказанию по делам </w:t>
      </w:r>
      <w:r>
        <w:rPr>
          <w:sz w:val="28"/>
          <w:szCs w:val="28"/>
        </w:rPr>
        <w:br/>
      </w:r>
      <w:r w:rsidRPr="00C31085">
        <w:rPr>
          <w:sz w:val="28"/>
          <w:szCs w:val="28"/>
        </w:rPr>
        <w:t xml:space="preserve">об административных правонарушениях по статьям главы 12 КоАП РФ. </w:t>
      </w:r>
      <w:r>
        <w:rPr>
          <w:sz w:val="28"/>
          <w:szCs w:val="28"/>
        </w:rPr>
        <w:br/>
      </w:r>
      <w:r w:rsidRPr="00C31085">
        <w:rPr>
          <w:sz w:val="28"/>
          <w:szCs w:val="28"/>
        </w:rPr>
        <w:t xml:space="preserve">Из них подвергнуто штрафу – 252 лица или 94,7%, административному аресту – </w:t>
      </w:r>
      <w:r>
        <w:rPr>
          <w:sz w:val="28"/>
          <w:szCs w:val="28"/>
        </w:rPr>
        <w:br/>
      </w:r>
      <w:r w:rsidRPr="00C31085">
        <w:rPr>
          <w:sz w:val="28"/>
          <w:szCs w:val="28"/>
        </w:rPr>
        <w:t xml:space="preserve">7 лиц или 2,6%, лишению специального права – 7 лиц или 2,6 %, обязательным работам – 2 лица или 0,7%. </w:t>
      </w:r>
    </w:p>
    <w:p w:rsidR="00163F80" w:rsidRPr="00E50D8B" w:rsidRDefault="00163F80" w:rsidP="00BA1D30">
      <w:pPr>
        <w:ind w:firstLine="709"/>
        <w:jc w:val="both"/>
        <w:rPr>
          <w:sz w:val="28"/>
          <w:szCs w:val="28"/>
          <w:highlight w:val="yellow"/>
        </w:rPr>
      </w:pPr>
      <w:r w:rsidRPr="00C31085">
        <w:rPr>
          <w:sz w:val="28"/>
          <w:szCs w:val="28"/>
        </w:rPr>
        <w:t xml:space="preserve">В структуре рассмотренных дел об административных правонарушениях </w:t>
      </w:r>
      <w:r>
        <w:rPr>
          <w:sz w:val="28"/>
          <w:szCs w:val="28"/>
        </w:rPr>
        <w:br/>
      </w:r>
      <w:r w:rsidRPr="00C31085">
        <w:rPr>
          <w:sz w:val="28"/>
          <w:szCs w:val="28"/>
        </w:rPr>
        <w:t xml:space="preserve">по первой инстанции общее количество рассмотренных дел о нарушениях законодательства в области обеспечения здоровья, санитарно-эпидемиологического благополучия и общественной нравственности (глава 6 КоАП РФ) </w:t>
      </w:r>
      <w:r w:rsidRPr="00C31085">
        <w:rPr>
          <w:sz w:val="28"/>
          <w:szCs w:val="28"/>
          <w:lang w:val="en-US"/>
        </w:rPr>
        <w:t>c</w:t>
      </w:r>
      <w:r w:rsidRPr="00C31085">
        <w:rPr>
          <w:sz w:val="28"/>
          <w:szCs w:val="28"/>
        </w:rPr>
        <w:t xml:space="preserve">оставило 162 дела или 2% (в 2023 году – 182 дела или 2%; в 2022 году – 501 дело или 0,4%). По данной категории дел подвергнуто административным </w:t>
      </w:r>
      <w:r w:rsidRPr="00CB08DA">
        <w:rPr>
          <w:sz w:val="28"/>
          <w:szCs w:val="28"/>
        </w:rPr>
        <w:t>наказаниям 96 лиц или 59,3% от общего числа лиц, в отношении которых были рассмотрены дела</w:t>
      </w:r>
      <w:r>
        <w:rPr>
          <w:sz w:val="28"/>
          <w:szCs w:val="28"/>
        </w:rPr>
        <w:t xml:space="preserve"> </w:t>
      </w:r>
      <w:r w:rsidRPr="00CB08DA">
        <w:rPr>
          <w:sz w:val="28"/>
          <w:szCs w:val="28"/>
        </w:rPr>
        <w:t>об административных правонарушениях по статьям главы 6 КоАП РФ, из них 65 лиц или 67,7% – штрафу, 29 лиц или 30,2% –приостановлению деяте</w:t>
      </w:r>
      <w:r w:rsidRPr="001E3D6B">
        <w:rPr>
          <w:sz w:val="28"/>
          <w:szCs w:val="28"/>
        </w:rPr>
        <w:t>льности, 1 лицо или 1% – предупреждению, 1 лицо или</w:t>
      </w:r>
      <w:r w:rsidRPr="00CB08DA">
        <w:rPr>
          <w:sz w:val="28"/>
          <w:szCs w:val="28"/>
        </w:rPr>
        <w:t xml:space="preserve"> 1% – административному </w:t>
      </w:r>
      <w:r w:rsidRPr="001E3D6B">
        <w:rPr>
          <w:sz w:val="28"/>
          <w:szCs w:val="28"/>
        </w:rPr>
        <w:t>аресту.</w:t>
      </w:r>
    </w:p>
    <w:p w:rsidR="00163F80" w:rsidRPr="001E3D6B" w:rsidRDefault="00163F80" w:rsidP="009D577C">
      <w:pPr>
        <w:ind w:firstLine="709"/>
        <w:jc w:val="both"/>
        <w:rPr>
          <w:sz w:val="28"/>
          <w:szCs w:val="28"/>
        </w:rPr>
      </w:pPr>
      <w:r w:rsidRPr="001E3D6B">
        <w:rPr>
          <w:sz w:val="28"/>
          <w:szCs w:val="28"/>
        </w:rPr>
        <w:t xml:space="preserve">Среднемесячная служебная нагрузка по рассмотрению дел об административных правонарушениях и жалоб на постановления по делам об административных </w:t>
      </w:r>
      <w:r w:rsidRPr="007B6E88">
        <w:rPr>
          <w:sz w:val="28"/>
          <w:szCs w:val="28"/>
        </w:rPr>
        <w:t>правонарушениях в расчете на одного судью в 2024 году составила 7,7 дел (в 2023 году – 7,8 дел; в 2022 году – 72,8 дела).</w:t>
      </w:r>
      <w:bookmarkStart w:id="6" w:name="_GoBack"/>
      <w:bookmarkEnd w:id="6"/>
      <w:r w:rsidRPr="001E3D6B">
        <w:rPr>
          <w:sz w:val="28"/>
          <w:szCs w:val="28"/>
        </w:rPr>
        <w:t xml:space="preserve"> </w:t>
      </w:r>
      <w:r w:rsidRPr="001E3D6B">
        <w:rPr>
          <w:sz w:val="28"/>
          <w:szCs w:val="28"/>
        </w:rPr>
        <w:br/>
        <w:t xml:space="preserve">Показатели по районам варьируются от 1,1 дела в Акушинском районном суде до 29,0 дел в Карабудахкентском районном суде. </w:t>
      </w:r>
    </w:p>
    <w:p w:rsidR="00163F80" w:rsidRPr="001E3D6B" w:rsidRDefault="00163F80" w:rsidP="009D577C">
      <w:pPr>
        <w:ind w:firstLine="709"/>
        <w:jc w:val="both"/>
        <w:rPr>
          <w:sz w:val="28"/>
          <w:szCs w:val="28"/>
        </w:rPr>
      </w:pPr>
    </w:p>
    <w:p w:rsidR="00163F80" w:rsidRPr="001E3D6B" w:rsidRDefault="00163F80" w:rsidP="00FB2065">
      <w:pPr>
        <w:jc w:val="both"/>
        <w:rPr>
          <w:sz w:val="28"/>
          <w:szCs w:val="28"/>
        </w:rPr>
      </w:pPr>
      <w:r w:rsidRPr="001E3D6B">
        <w:rPr>
          <w:sz w:val="28"/>
          <w:szCs w:val="28"/>
        </w:rPr>
        <w:t>Отдел информатизации</w:t>
      </w:r>
    </w:p>
    <w:p w:rsidR="00163F80" w:rsidRPr="001E3D6B" w:rsidRDefault="00163F80" w:rsidP="00FB2065">
      <w:pPr>
        <w:jc w:val="both"/>
        <w:rPr>
          <w:sz w:val="28"/>
          <w:szCs w:val="28"/>
        </w:rPr>
      </w:pPr>
      <w:r w:rsidRPr="001E3D6B">
        <w:rPr>
          <w:sz w:val="28"/>
          <w:szCs w:val="28"/>
        </w:rPr>
        <w:t>и судебной статистики</w:t>
      </w:r>
    </w:p>
    <w:p w:rsidR="00163F80" w:rsidRPr="00E50D8B" w:rsidRDefault="00163F80" w:rsidP="00FB2065">
      <w:pPr>
        <w:jc w:val="both"/>
        <w:rPr>
          <w:sz w:val="28"/>
          <w:szCs w:val="28"/>
        </w:rPr>
      </w:pPr>
      <w:r w:rsidRPr="001E3D6B">
        <w:rPr>
          <w:sz w:val="28"/>
          <w:szCs w:val="28"/>
        </w:rPr>
        <w:t>УСД в РД</w:t>
      </w:r>
    </w:p>
    <w:sectPr w:rsidR="00163F80" w:rsidRPr="00E50D8B" w:rsidSect="006268DC">
      <w:headerReference w:type="default" r:id="rId19"/>
      <w:pgSz w:w="11906" w:h="16838"/>
      <w:pgMar w:top="709" w:right="851" w:bottom="851" w:left="1134" w:header="39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80" w:rsidRDefault="00163F80">
      <w:r>
        <w:separator/>
      </w:r>
    </w:p>
  </w:endnote>
  <w:endnote w:type="continuationSeparator" w:id="0">
    <w:p w:rsidR="00163F80" w:rsidRDefault="00163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80" w:rsidRDefault="00163F80">
      <w:r>
        <w:separator/>
      </w:r>
    </w:p>
  </w:footnote>
  <w:footnote w:type="continuationSeparator" w:id="0">
    <w:p w:rsidR="00163F80" w:rsidRDefault="00163F80">
      <w:r>
        <w:continuationSeparator/>
      </w:r>
    </w:p>
  </w:footnote>
  <w:footnote w:id="1">
    <w:p w:rsidR="00163F80" w:rsidRDefault="00163F80" w:rsidP="00D078D4">
      <w:pPr>
        <w:pStyle w:val="FootnoteText"/>
        <w:jc w:val="both"/>
      </w:pPr>
      <w:r w:rsidRPr="0094474B">
        <w:rPr>
          <w:rStyle w:val="FootnoteReference"/>
          <w:sz w:val="18"/>
          <w:szCs w:val="18"/>
        </w:rPr>
        <w:footnoteRef/>
      </w:r>
      <w:r w:rsidRPr="0094474B">
        <w:rPr>
          <w:sz w:val="18"/>
          <w:szCs w:val="18"/>
        </w:rPr>
        <w:t xml:space="preserve"> </w:t>
      </w:r>
      <w:r w:rsidRPr="002853FA">
        <w:rPr>
          <w:sz w:val="18"/>
          <w:szCs w:val="18"/>
        </w:rPr>
        <w:t>В данном обзоре судебной статистики о деятельности районных (городских) судов Республики Дагестан при расчете среднемесячной нагрузки по рассмотрению дел и/или материалов в расчете на 1 судью районного (городского) суда Республики Дагестан количество рассмотренных районными (городскими) судами Республики Дагестан дел и/или материалов делится на число рабочих месяцев (при составлении годового отчета на 10,5) и на фактическую численность судей на конец отчетного периода</w:t>
      </w:r>
      <w:r>
        <w:rPr>
          <w:sz w:val="18"/>
          <w:szCs w:val="18"/>
        </w:rPr>
        <w:t xml:space="preserve"> (в 2022 году – 164, в 2023 году – 169, в 2024 году - 158)</w:t>
      </w:r>
      <w:r w:rsidRPr="002853FA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F80" w:rsidRDefault="00163F80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163F80" w:rsidRDefault="00163F80" w:rsidP="0051680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02B9"/>
    <w:multiLevelType w:val="multilevel"/>
    <w:tmpl w:val="E88E4B3A"/>
    <w:lvl w:ilvl="0">
      <w:start w:val="1"/>
      <w:numFmt w:val="bullet"/>
      <w:lvlText w:val="-"/>
      <w:lvlJc w:val="left"/>
      <w:pPr>
        <w:tabs>
          <w:tab w:val="num" w:pos="1625"/>
        </w:tabs>
        <w:ind w:left="720" w:firstLine="545"/>
      </w:pPr>
      <w:rPr>
        <w:rFonts w:hint="default"/>
      </w:rPr>
    </w:lvl>
    <w:lvl w:ilvl="1">
      <w:start w:val="1"/>
      <w:numFmt w:val="none"/>
      <w:lvlText w:val="­"/>
      <w:legacy w:legacy="1" w:legacySpace="120" w:legacyIndent="360"/>
      <w:lvlJc w:val="left"/>
      <w:pPr>
        <w:ind w:left="720" w:hanging="360"/>
      </w:p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1">
    <w:nsid w:val="112977C5"/>
    <w:multiLevelType w:val="hybridMultilevel"/>
    <w:tmpl w:val="0388DE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14631"/>
    <w:multiLevelType w:val="hybridMultilevel"/>
    <w:tmpl w:val="C5F03696"/>
    <w:lvl w:ilvl="0" w:tplc="441E9A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1E827A8"/>
    <w:multiLevelType w:val="hybridMultilevel"/>
    <w:tmpl w:val="2CB0CD10"/>
    <w:lvl w:ilvl="0" w:tplc="5E02EC7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2126A1"/>
    <w:multiLevelType w:val="singleLevel"/>
    <w:tmpl w:val="96DAAB7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</w:rPr>
    </w:lvl>
  </w:abstractNum>
  <w:abstractNum w:abstractNumId="5">
    <w:nsid w:val="276743A6"/>
    <w:multiLevelType w:val="hybridMultilevel"/>
    <w:tmpl w:val="F030FB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607B7"/>
    <w:multiLevelType w:val="multilevel"/>
    <w:tmpl w:val="E88E4B3A"/>
    <w:lvl w:ilvl="0">
      <w:start w:val="1"/>
      <w:numFmt w:val="bullet"/>
      <w:lvlText w:val="-"/>
      <w:lvlJc w:val="left"/>
      <w:pPr>
        <w:tabs>
          <w:tab w:val="num" w:pos="1625"/>
        </w:tabs>
        <w:ind w:left="720" w:firstLine="545"/>
      </w:pPr>
      <w:rPr>
        <w:rFonts w:hint="default"/>
      </w:rPr>
    </w:lvl>
    <w:lvl w:ilvl="1">
      <w:start w:val="1"/>
      <w:numFmt w:val="none"/>
      <w:lvlText w:val="­"/>
      <w:legacy w:legacy="1" w:legacySpace="120" w:legacyIndent="360"/>
      <w:lvlJc w:val="left"/>
      <w:pPr>
        <w:ind w:left="720" w:hanging="360"/>
      </w:p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7">
    <w:nsid w:val="3A503DD3"/>
    <w:multiLevelType w:val="hybridMultilevel"/>
    <w:tmpl w:val="1E3AF2F0"/>
    <w:lvl w:ilvl="0" w:tplc="903CE300">
      <w:start w:val="1"/>
      <w:numFmt w:val="bullet"/>
      <w:lvlText w:val="-"/>
      <w:lvlJc w:val="left"/>
      <w:pPr>
        <w:tabs>
          <w:tab w:val="num" w:pos="1625"/>
        </w:tabs>
        <w:ind w:left="720" w:firstLine="545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3C710948"/>
    <w:multiLevelType w:val="multilevel"/>
    <w:tmpl w:val="501A7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47836"/>
    <w:multiLevelType w:val="multilevel"/>
    <w:tmpl w:val="2CB0CD10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29D5511"/>
    <w:multiLevelType w:val="hybridMultilevel"/>
    <w:tmpl w:val="87DC78EE"/>
    <w:lvl w:ilvl="0" w:tplc="903CE300">
      <w:start w:val="1"/>
      <w:numFmt w:val="bullet"/>
      <w:lvlText w:val="-"/>
      <w:lvlJc w:val="left"/>
      <w:pPr>
        <w:tabs>
          <w:tab w:val="num" w:pos="1625"/>
        </w:tabs>
        <w:ind w:left="720" w:firstLine="545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463C3CE0"/>
    <w:multiLevelType w:val="hybridMultilevel"/>
    <w:tmpl w:val="6D06F0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EB0869"/>
    <w:multiLevelType w:val="hybridMultilevel"/>
    <w:tmpl w:val="970C4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8F3DAD"/>
    <w:multiLevelType w:val="hybridMultilevel"/>
    <w:tmpl w:val="94E6D8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A1671A"/>
    <w:multiLevelType w:val="multilevel"/>
    <w:tmpl w:val="2EF6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6554F7F"/>
    <w:multiLevelType w:val="hybridMultilevel"/>
    <w:tmpl w:val="DD548086"/>
    <w:lvl w:ilvl="0" w:tplc="04190005">
      <w:start w:val="1"/>
      <w:numFmt w:val="bullet"/>
      <w:lvlText w:val=""/>
      <w:lvlJc w:val="left"/>
      <w:pPr>
        <w:tabs>
          <w:tab w:val="num" w:pos="1337"/>
        </w:tabs>
        <w:ind w:left="133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16">
    <w:nsid w:val="6A12150C"/>
    <w:multiLevelType w:val="hybridMultilevel"/>
    <w:tmpl w:val="60F05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BC81A49"/>
    <w:multiLevelType w:val="hybridMultilevel"/>
    <w:tmpl w:val="2DD80F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9961D1"/>
    <w:multiLevelType w:val="hybridMultilevel"/>
    <w:tmpl w:val="9A2C159E"/>
    <w:lvl w:ilvl="0" w:tplc="3D8A2C9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>
    <w:nsid w:val="78CD0FCC"/>
    <w:multiLevelType w:val="hybridMultilevel"/>
    <w:tmpl w:val="62A003AE"/>
    <w:lvl w:ilvl="0" w:tplc="903CE300">
      <w:start w:val="1"/>
      <w:numFmt w:val="bullet"/>
      <w:lvlText w:val="-"/>
      <w:lvlJc w:val="left"/>
      <w:pPr>
        <w:tabs>
          <w:tab w:val="num" w:pos="1625"/>
        </w:tabs>
        <w:ind w:left="720" w:firstLine="545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7B1D6BAA"/>
    <w:multiLevelType w:val="hybridMultilevel"/>
    <w:tmpl w:val="5F7EF0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7517C7"/>
    <w:multiLevelType w:val="multilevel"/>
    <w:tmpl w:val="356619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60"/>
        </w:tabs>
        <w:ind w:left="84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15"/>
  </w:num>
  <w:num w:numId="7">
    <w:abstractNumId w:val="5"/>
  </w:num>
  <w:num w:numId="8">
    <w:abstractNumId w:val="20"/>
  </w:num>
  <w:num w:numId="9">
    <w:abstractNumId w:val="10"/>
  </w:num>
  <w:num w:numId="10">
    <w:abstractNumId w:val="19"/>
  </w:num>
  <w:num w:numId="11">
    <w:abstractNumId w:val="7"/>
  </w:num>
  <w:num w:numId="12">
    <w:abstractNumId w:val="0"/>
  </w:num>
  <w:num w:numId="13">
    <w:abstractNumId w:val="6"/>
  </w:num>
  <w:num w:numId="14">
    <w:abstractNumId w:val="4"/>
  </w:num>
  <w:num w:numId="15">
    <w:abstractNumId w:val="11"/>
  </w:num>
  <w:num w:numId="16">
    <w:abstractNumId w:val="8"/>
  </w:num>
  <w:num w:numId="17">
    <w:abstractNumId w:val="13"/>
  </w:num>
  <w:num w:numId="18">
    <w:abstractNumId w:val="17"/>
  </w:num>
  <w:num w:numId="19">
    <w:abstractNumId w:val="21"/>
  </w:num>
  <w:num w:numId="20">
    <w:abstractNumId w:val="18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6DB"/>
    <w:rsid w:val="00000012"/>
    <w:rsid w:val="000002F3"/>
    <w:rsid w:val="00000301"/>
    <w:rsid w:val="00000691"/>
    <w:rsid w:val="00000B5D"/>
    <w:rsid w:val="00000B6D"/>
    <w:rsid w:val="00000F24"/>
    <w:rsid w:val="000016CE"/>
    <w:rsid w:val="000017AB"/>
    <w:rsid w:val="00001E46"/>
    <w:rsid w:val="00001FC8"/>
    <w:rsid w:val="00001FDD"/>
    <w:rsid w:val="000023B0"/>
    <w:rsid w:val="000026C5"/>
    <w:rsid w:val="00002980"/>
    <w:rsid w:val="00002A23"/>
    <w:rsid w:val="00002CA1"/>
    <w:rsid w:val="000033C9"/>
    <w:rsid w:val="000035C5"/>
    <w:rsid w:val="00003A5D"/>
    <w:rsid w:val="00003E2E"/>
    <w:rsid w:val="0000483F"/>
    <w:rsid w:val="00004A1F"/>
    <w:rsid w:val="00004B99"/>
    <w:rsid w:val="00004E3D"/>
    <w:rsid w:val="000050D3"/>
    <w:rsid w:val="00005772"/>
    <w:rsid w:val="00005C52"/>
    <w:rsid w:val="00005D30"/>
    <w:rsid w:val="00005EA3"/>
    <w:rsid w:val="00006007"/>
    <w:rsid w:val="0000616B"/>
    <w:rsid w:val="0000632F"/>
    <w:rsid w:val="00006AE0"/>
    <w:rsid w:val="00006CEB"/>
    <w:rsid w:val="00006F4A"/>
    <w:rsid w:val="000073F2"/>
    <w:rsid w:val="000074C1"/>
    <w:rsid w:val="000074FA"/>
    <w:rsid w:val="00007A2C"/>
    <w:rsid w:val="00007E09"/>
    <w:rsid w:val="00010931"/>
    <w:rsid w:val="00010A0A"/>
    <w:rsid w:val="00011486"/>
    <w:rsid w:val="000116F6"/>
    <w:rsid w:val="00011A50"/>
    <w:rsid w:val="00011ABB"/>
    <w:rsid w:val="00011CED"/>
    <w:rsid w:val="00011DF5"/>
    <w:rsid w:val="00011F73"/>
    <w:rsid w:val="00012516"/>
    <w:rsid w:val="000127AE"/>
    <w:rsid w:val="000128BE"/>
    <w:rsid w:val="00012ACA"/>
    <w:rsid w:val="00012DFA"/>
    <w:rsid w:val="00013189"/>
    <w:rsid w:val="00013269"/>
    <w:rsid w:val="0001365B"/>
    <w:rsid w:val="00013FF8"/>
    <w:rsid w:val="000144EE"/>
    <w:rsid w:val="00014CCC"/>
    <w:rsid w:val="00015188"/>
    <w:rsid w:val="0001523D"/>
    <w:rsid w:val="000158DA"/>
    <w:rsid w:val="000158F1"/>
    <w:rsid w:val="000159A3"/>
    <w:rsid w:val="00015A4F"/>
    <w:rsid w:val="00015B3D"/>
    <w:rsid w:val="00015C9E"/>
    <w:rsid w:val="00015E7E"/>
    <w:rsid w:val="00016141"/>
    <w:rsid w:val="00017688"/>
    <w:rsid w:val="00017952"/>
    <w:rsid w:val="000179EC"/>
    <w:rsid w:val="00020547"/>
    <w:rsid w:val="00021288"/>
    <w:rsid w:val="00021FE3"/>
    <w:rsid w:val="00022933"/>
    <w:rsid w:val="00022BBE"/>
    <w:rsid w:val="00022C42"/>
    <w:rsid w:val="00023C11"/>
    <w:rsid w:val="000240CC"/>
    <w:rsid w:val="00024371"/>
    <w:rsid w:val="00025624"/>
    <w:rsid w:val="00025B48"/>
    <w:rsid w:val="00025D5B"/>
    <w:rsid w:val="00026349"/>
    <w:rsid w:val="00026500"/>
    <w:rsid w:val="0002707F"/>
    <w:rsid w:val="0002708A"/>
    <w:rsid w:val="00027886"/>
    <w:rsid w:val="000278F1"/>
    <w:rsid w:val="00030129"/>
    <w:rsid w:val="00030485"/>
    <w:rsid w:val="0003099C"/>
    <w:rsid w:val="000309C4"/>
    <w:rsid w:val="00030AA8"/>
    <w:rsid w:val="00030E43"/>
    <w:rsid w:val="00031B3C"/>
    <w:rsid w:val="0003243E"/>
    <w:rsid w:val="000324C0"/>
    <w:rsid w:val="000324C1"/>
    <w:rsid w:val="000325C1"/>
    <w:rsid w:val="00032CF5"/>
    <w:rsid w:val="0003332A"/>
    <w:rsid w:val="0003341F"/>
    <w:rsid w:val="00033B9C"/>
    <w:rsid w:val="00034299"/>
    <w:rsid w:val="00034513"/>
    <w:rsid w:val="00034E2A"/>
    <w:rsid w:val="0003520B"/>
    <w:rsid w:val="000358D1"/>
    <w:rsid w:val="00037508"/>
    <w:rsid w:val="00037749"/>
    <w:rsid w:val="0003776D"/>
    <w:rsid w:val="00037982"/>
    <w:rsid w:val="00040118"/>
    <w:rsid w:val="000408A0"/>
    <w:rsid w:val="00040BA0"/>
    <w:rsid w:val="0004111B"/>
    <w:rsid w:val="000415FC"/>
    <w:rsid w:val="0004176E"/>
    <w:rsid w:val="000417FF"/>
    <w:rsid w:val="00041C8D"/>
    <w:rsid w:val="00042BE3"/>
    <w:rsid w:val="00042DF6"/>
    <w:rsid w:val="00043096"/>
    <w:rsid w:val="0004311C"/>
    <w:rsid w:val="0004346B"/>
    <w:rsid w:val="0004364E"/>
    <w:rsid w:val="00043848"/>
    <w:rsid w:val="00043C33"/>
    <w:rsid w:val="00043F80"/>
    <w:rsid w:val="0004418E"/>
    <w:rsid w:val="00044417"/>
    <w:rsid w:val="00044A56"/>
    <w:rsid w:val="00044AA9"/>
    <w:rsid w:val="000453EC"/>
    <w:rsid w:val="00045A57"/>
    <w:rsid w:val="00045B0C"/>
    <w:rsid w:val="00045D59"/>
    <w:rsid w:val="00046159"/>
    <w:rsid w:val="000465E9"/>
    <w:rsid w:val="00046963"/>
    <w:rsid w:val="00046F65"/>
    <w:rsid w:val="000470EA"/>
    <w:rsid w:val="00047BB7"/>
    <w:rsid w:val="00050397"/>
    <w:rsid w:val="00051117"/>
    <w:rsid w:val="00051156"/>
    <w:rsid w:val="0005314F"/>
    <w:rsid w:val="0005322D"/>
    <w:rsid w:val="00053756"/>
    <w:rsid w:val="000537C4"/>
    <w:rsid w:val="00053EA9"/>
    <w:rsid w:val="00054625"/>
    <w:rsid w:val="00054654"/>
    <w:rsid w:val="000546D6"/>
    <w:rsid w:val="00055273"/>
    <w:rsid w:val="000553C5"/>
    <w:rsid w:val="00055461"/>
    <w:rsid w:val="000557DC"/>
    <w:rsid w:val="000558D2"/>
    <w:rsid w:val="000560B9"/>
    <w:rsid w:val="0005634F"/>
    <w:rsid w:val="0005643E"/>
    <w:rsid w:val="000566E0"/>
    <w:rsid w:val="000569E9"/>
    <w:rsid w:val="00056C06"/>
    <w:rsid w:val="00057290"/>
    <w:rsid w:val="000575F6"/>
    <w:rsid w:val="000577E9"/>
    <w:rsid w:val="000600F0"/>
    <w:rsid w:val="00060132"/>
    <w:rsid w:val="000602DF"/>
    <w:rsid w:val="00060AD8"/>
    <w:rsid w:val="00060AE1"/>
    <w:rsid w:val="00060B62"/>
    <w:rsid w:val="000611DF"/>
    <w:rsid w:val="000616E3"/>
    <w:rsid w:val="000617B8"/>
    <w:rsid w:val="000618C7"/>
    <w:rsid w:val="000619F9"/>
    <w:rsid w:val="00061BC0"/>
    <w:rsid w:val="00061D05"/>
    <w:rsid w:val="00062204"/>
    <w:rsid w:val="000628C2"/>
    <w:rsid w:val="0006393C"/>
    <w:rsid w:val="00063ADA"/>
    <w:rsid w:val="00063B00"/>
    <w:rsid w:val="000643E5"/>
    <w:rsid w:val="00064980"/>
    <w:rsid w:val="00064C3B"/>
    <w:rsid w:val="00065006"/>
    <w:rsid w:val="0006567B"/>
    <w:rsid w:val="000664A9"/>
    <w:rsid w:val="000668F5"/>
    <w:rsid w:val="00066B7E"/>
    <w:rsid w:val="00066B87"/>
    <w:rsid w:val="0006731A"/>
    <w:rsid w:val="0006747D"/>
    <w:rsid w:val="0006758E"/>
    <w:rsid w:val="00067B49"/>
    <w:rsid w:val="000701A4"/>
    <w:rsid w:val="000701CA"/>
    <w:rsid w:val="00070809"/>
    <w:rsid w:val="0007083B"/>
    <w:rsid w:val="00070B15"/>
    <w:rsid w:val="00070BF9"/>
    <w:rsid w:val="000715BE"/>
    <w:rsid w:val="000716DE"/>
    <w:rsid w:val="000716F6"/>
    <w:rsid w:val="00071D3E"/>
    <w:rsid w:val="00072686"/>
    <w:rsid w:val="00072C2B"/>
    <w:rsid w:val="0007394B"/>
    <w:rsid w:val="00073BE5"/>
    <w:rsid w:val="00073EF9"/>
    <w:rsid w:val="000742AD"/>
    <w:rsid w:val="000743C0"/>
    <w:rsid w:val="00074718"/>
    <w:rsid w:val="00074927"/>
    <w:rsid w:val="00074DFE"/>
    <w:rsid w:val="00074E63"/>
    <w:rsid w:val="000753D9"/>
    <w:rsid w:val="00075420"/>
    <w:rsid w:val="0007558C"/>
    <w:rsid w:val="00075802"/>
    <w:rsid w:val="0007589B"/>
    <w:rsid w:val="00075AE4"/>
    <w:rsid w:val="00075EEF"/>
    <w:rsid w:val="000763DC"/>
    <w:rsid w:val="000763EB"/>
    <w:rsid w:val="00076517"/>
    <w:rsid w:val="00076821"/>
    <w:rsid w:val="00076D52"/>
    <w:rsid w:val="00076F50"/>
    <w:rsid w:val="00077515"/>
    <w:rsid w:val="00077651"/>
    <w:rsid w:val="000806FA"/>
    <w:rsid w:val="00080851"/>
    <w:rsid w:val="00080FB6"/>
    <w:rsid w:val="00081829"/>
    <w:rsid w:val="00081952"/>
    <w:rsid w:val="00081AD2"/>
    <w:rsid w:val="00082E65"/>
    <w:rsid w:val="00082E74"/>
    <w:rsid w:val="000832CE"/>
    <w:rsid w:val="000836A8"/>
    <w:rsid w:val="00083919"/>
    <w:rsid w:val="00083A5E"/>
    <w:rsid w:val="00083AD8"/>
    <w:rsid w:val="00083BE1"/>
    <w:rsid w:val="00083E1F"/>
    <w:rsid w:val="000840F1"/>
    <w:rsid w:val="0008469F"/>
    <w:rsid w:val="000847AD"/>
    <w:rsid w:val="0008490C"/>
    <w:rsid w:val="0008497A"/>
    <w:rsid w:val="000852B0"/>
    <w:rsid w:val="0008599B"/>
    <w:rsid w:val="00085B1A"/>
    <w:rsid w:val="00085B74"/>
    <w:rsid w:val="00085B7B"/>
    <w:rsid w:val="00085D12"/>
    <w:rsid w:val="00085F8A"/>
    <w:rsid w:val="00086300"/>
    <w:rsid w:val="0008648D"/>
    <w:rsid w:val="00086B8F"/>
    <w:rsid w:val="00086D74"/>
    <w:rsid w:val="00086DF9"/>
    <w:rsid w:val="0008730F"/>
    <w:rsid w:val="00087586"/>
    <w:rsid w:val="0008778C"/>
    <w:rsid w:val="00087882"/>
    <w:rsid w:val="0008792F"/>
    <w:rsid w:val="00087A60"/>
    <w:rsid w:val="00087EAA"/>
    <w:rsid w:val="0009044D"/>
    <w:rsid w:val="0009049B"/>
    <w:rsid w:val="00091076"/>
    <w:rsid w:val="00091119"/>
    <w:rsid w:val="000914D5"/>
    <w:rsid w:val="0009249B"/>
    <w:rsid w:val="000925FE"/>
    <w:rsid w:val="000936C7"/>
    <w:rsid w:val="00093D85"/>
    <w:rsid w:val="000948B7"/>
    <w:rsid w:val="000949C1"/>
    <w:rsid w:val="00094A56"/>
    <w:rsid w:val="00094CA5"/>
    <w:rsid w:val="00094CA9"/>
    <w:rsid w:val="00094CB5"/>
    <w:rsid w:val="00094D75"/>
    <w:rsid w:val="0009519E"/>
    <w:rsid w:val="00095A39"/>
    <w:rsid w:val="00095AAF"/>
    <w:rsid w:val="00095FFA"/>
    <w:rsid w:val="00096015"/>
    <w:rsid w:val="00096A36"/>
    <w:rsid w:val="00097B07"/>
    <w:rsid w:val="000A0F70"/>
    <w:rsid w:val="000A1849"/>
    <w:rsid w:val="000A1889"/>
    <w:rsid w:val="000A1FB3"/>
    <w:rsid w:val="000A2055"/>
    <w:rsid w:val="000A36C1"/>
    <w:rsid w:val="000A393E"/>
    <w:rsid w:val="000A3E73"/>
    <w:rsid w:val="000A4195"/>
    <w:rsid w:val="000A4203"/>
    <w:rsid w:val="000A54E7"/>
    <w:rsid w:val="000A5898"/>
    <w:rsid w:val="000A594E"/>
    <w:rsid w:val="000A641C"/>
    <w:rsid w:val="000A66C7"/>
    <w:rsid w:val="000A692F"/>
    <w:rsid w:val="000A71BA"/>
    <w:rsid w:val="000A7AF3"/>
    <w:rsid w:val="000A7E48"/>
    <w:rsid w:val="000A7E4B"/>
    <w:rsid w:val="000A7E9C"/>
    <w:rsid w:val="000B0353"/>
    <w:rsid w:val="000B097A"/>
    <w:rsid w:val="000B0BBB"/>
    <w:rsid w:val="000B1322"/>
    <w:rsid w:val="000B14D2"/>
    <w:rsid w:val="000B1631"/>
    <w:rsid w:val="000B1686"/>
    <w:rsid w:val="000B195D"/>
    <w:rsid w:val="000B1DE7"/>
    <w:rsid w:val="000B211C"/>
    <w:rsid w:val="000B254B"/>
    <w:rsid w:val="000B2BDA"/>
    <w:rsid w:val="000B3080"/>
    <w:rsid w:val="000B4241"/>
    <w:rsid w:val="000B45EF"/>
    <w:rsid w:val="000B49B3"/>
    <w:rsid w:val="000B4DEE"/>
    <w:rsid w:val="000B52E2"/>
    <w:rsid w:val="000B535A"/>
    <w:rsid w:val="000B5436"/>
    <w:rsid w:val="000B54FE"/>
    <w:rsid w:val="000B6367"/>
    <w:rsid w:val="000B6B7D"/>
    <w:rsid w:val="000B74E8"/>
    <w:rsid w:val="000B779B"/>
    <w:rsid w:val="000B7AEF"/>
    <w:rsid w:val="000B7DB2"/>
    <w:rsid w:val="000C0496"/>
    <w:rsid w:val="000C0AB6"/>
    <w:rsid w:val="000C13DD"/>
    <w:rsid w:val="000C164C"/>
    <w:rsid w:val="000C16FD"/>
    <w:rsid w:val="000C211D"/>
    <w:rsid w:val="000C2213"/>
    <w:rsid w:val="000C24C4"/>
    <w:rsid w:val="000C2C83"/>
    <w:rsid w:val="000C3228"/>
    <w:rsid w:val="000C36E8"/>
    <w:rsid w:val="000C3812"/>
    <w:rsid w:val="000C39F2"/>
    <w:rsid w:val="000C3A03"/>
    <w:rsid w:val="000C3BDD"/>
    <w:rsid w:val="000C3DB7"/>
    <w:rsid w:val="000C4076"/>
    <w:rsid w:val="000C44C9"/>
    <w:rsid w:val="000C4E4F"/>
    <w:rsid w:val="000C541B"/>
    <w:rsid w:val="000C5E91"/>
    <w:rsid w:val="000C62F0"/>
    <w:rsid w:val="000C63D6"/>
    <w:rsid w:val="000C6DAB"/>
    <w:rsid w:val="000C6DB6"/>
    <w:rsid w:val="000C70BD"/>
    <w:rsid w:val="000C78D1"/>
    <w:rsid w:val="000C7EF5"/>
    <w:rsid w:val="000D0742"/>
    <w:rsid w:val="000D0D1C"/>
    <w:rsid w:val="000D1073"/>
    <w:rsid w:val="000D10A8"/>
    <w:rsid w:val="000D11CC"/>
    <w:rsid w:val="000D1844"/>
    <w:rsid w:val="000D1FBA"/>
    <w:rsid w:val="000D289A"/>
    <w:rsid w:val="000D3281"/>
    <w:rsid w:val="000D328D"/>
    <w:rsid w:val="000D341D"/>
    <w:rsid w:val="000D35F0"/>
    <w:rsid w:val="000D36AA"/>
    <w:rsid w:val="000D3826"/>
    <w:rsid w:val="000D3A4B"/>
    <w:rsid w:val="000D42C3"/>
    <w:rsid w:val="000D47C2"/>
    <w:rsid w:val="000D4F99"/>
    <w:rsid w:val="000D52CF"/>
    <w:rsid w:val="000D56D7"/>
    <w:rsid w:val="000D5D51"/>
    <w:rsid w:val="000D5FED"/>
    <w:rsid w:val="000D6962"/>
    <w:rsid w:val="000D72D0"/>
    <w:rsid w:val="000D75C4"/>
    <w:rsid w:val="000D7C26"/>
    <w:rsid w:val="000E02F1"/>
    <w:rsid w:val="000E04B2"/>
    <w:rsid w:val="000E08EF"/>
    <w:rsid w:val="000E0D14"/>
    <w:rsid w:val="000E1040"/>
    <w:rsid w:val="000E195F"/>
    <w:rsid w:val="000E1A3B"/>
    <w:rsid w:val="000E2399"/>
    <w:rsid w:val="000E2B74"/>
    <w:rsid w:val="000E37A1"/>
    <w:rsid w:val="000E39E6"/>
    <w:rsid w:val="000E3AD6"/>
    <w:rsid w:val="000E3D3E"/>
    <w:rsid w:val="000E3DDC"/>
    <w:rsid w:val="000E45BD"/>
    <w:rsid w:val="000E5019"/>
    <w:rsid w:val="000E5574"/>
    <w:rsid w:val="000E5D97"/>
    <w:rsid w:val="000E605B"/>
    <w:rsid w:val="000E64A7"/>
    <w:rsid w:val="000E64D1"/>
    <w:rsid w:val="000E67BC"/>
    <w:rsid w:val="000E67CB"/>
    <w:rsid w:val="000E6AB4"/>
    <w:rsid w:val="000E6AC5"/>
    <w:rsid w:val="000E6EFF"/>
    <w:rsid w:val="000E6F40"/>
    <w:rsid w:val="000E7188"/>
    <w:rsid w:val="000E7FEA"/>
    <w:rsid w:val="000F0108"/>
    <w:rsid w:val="000F0829"/>
    <w:rsid w:val="000F0CD5"/>
    <w:rsid w:val="000F18FD"/>
    <w:rsid w:val="000F233D"/>
    <w:rsid w:val="000F2BFE"/>
    <w:rsid w:val="000F31E1"/>
    <w:rsid w:val="000F3234"/>
    <w:rsid w:val="000F3307"/>
    <w:rsid w:val="000F3AF3"/>
    <w:rsid w:val="000F401F"/>
    <w:rsid w:val="000F4272"/>
    <w:rsid w:val="000F4AC2"/>
    <w:rsid w:val="000F52B9"/>
    <w:rsid w:val="000F6C3A"/>
    <w:rsid w:val="00100216"/>
    <w:rsid w:val="00100371"/>
    <w:rsid w:val="0010053C"/>
    <w:rsid w:val="00100C28"/>
    <w:rsid w:val="001014CB"/>
    <w:rsid w:val="001015BB"/>
    <w:rsid w:val="001016F9"/>
    <w:rsid w:val="00101A19"/>
    <w:rsid w:val="00101C69"/>
    <w:rsid w:val="00101F2D"/>
    <w:rsid w:val="00102002"/>
    <w:rsid w:val="001022B3"/>
    <w:rsid w:val="00102824"/>
    <w:rsid w:val="00102923"/>
    <w:rsid w:val="00102D29"/>
    <w:rsid w:val="00102EE1"/>
    <w:rsid w:val="0010345F"/>
    <w:rsid w:val="00103600"/>
    <w:rsid w:val="00103659"/>
    <w:rsid w:val="001045D0"/>
    <w:rsid w:val="00104906"/>
    <w:rsid w:val="00104AA5"/>
    <w:rsid w:val="00104BC6"/>
    <w:rsid w:val="00104BF3"/>
    <w:rsid w:val="0010563D"/>
    <w:rsid w:val="0010644C"/>
    <w:rsid w:val="001065CD"/>
    <w:rsid w:val="001067CB"/>
    <w:rsid w:val="001069E2"/>
    <w:rsid w:val="0010723A"/>
    <w:rsid w:val="00107355"/>
    <w:rsid w:val="00107E38"/>
    <w:rsid w:val="001103AD"/>
    <w:rsid w:val="0011168E"/>
    <w:rsid w:val="00111952"/>
    <w:rsid w:val="00111CC2"/>
    <w:rsid w:val="00111DD1"/>
    <w:rsid w:val="0011234A"/>
    <w:rsid w:val="001128B0"/>
    <w:rsid w:val="0011321B"/>
    <w:rsid w:val="001133BD"/>
    <w:rsid w:val="00113B48"/>
    <w:rsid w:val="00113F6D"/>
    <w:rsid w:val="00114030"/>
    <w:rsid w:val="00114542"/>
    <w:rsid w:val="00114890"/>
    <w:rsid w:val="001150E0"/>
    <w:rsid w:val="001151B1"/>
    <w:rsid w:val="00115286"/>
    <w:rsid w:val="001153FC"/>
    <w:rsid w:val="00115618"/>
    <w:rsid w:val="001158F8"/>
    <w:rsid w:val="001164B6"/>
    <w:rsid w:val="001174DE"/>
    <w:rsid w:val="00117522"/>
    <w:rsid w:val="00117A0F"/>
    <w:rsid w:val="00117C48"/>
    <w:rsid w:val="00117C5A"/>
    <w:rsid w:val="00117D8B"/>
    <w:rsid w:val="00117E36"/>
    <w:rsid w:val="00120354"/>
    <w:rsid w:val="001205D4"/>
    <w:rsid w:val="00120A13"/>
    <w:rsid w:val="00120C2D"/>
    <w:rsid w:val="001219A4"/>
    <w:rsid w:val="001219B3"/>
    <w:rsid w:val="00121A0A"/>
    <w:rsid w:val="00121B1D"/>
    <w:rsid w:val="00121D36"/>
    <w:rsid w:val="00121DED"/>
    <w:rsid w:val="00121EBD"/>
    <w:rsid w:val="00122942"/>
    <w:rsid w:val="00122987"/>
    <w:rsid w:val="00122E9C"/>
    <w:rsid w:val="0012330F"/>
    <w:rsid w:val="0012372B"/>
    <w:rsid w:val="00123A43"/>
    <w:rsid w:val="00123DA1"/>
    <w:rsid w:val="001241F2"/>
    <w:rsid w:val="00124463"/>
    <w:rsid w:val="00124742"/>
    <w:rsid w:val="00124854"/>
    <w:rsid w:val="00124872"/>
    <w:rsid w:val="0012491B"/>
    <w:rsid w:val="00124A08"/>
    <w:rsid w:val="001250B6"/>
    <w:rsid w:val="001255F3"/>
    <w:rsid w:val="001266A8"/>
    <w:rsid w:val="00126FCC"/>
    <w:rsid w:val="001278BB"/>
    <w:rsid w:val="00127A26"/>
    <w:rsid w:val="00127F6F"/>
    <w:rsid w:val="00131282"/>
    <w:rsid w:val="0013205A"/>
    <w:rsid w:val="001327F1"/>
    <w:rsid w:val="00132AC2"/>
    <w:rsid w:val="001336DF"/>
    <w:rsid w:val="001336F8"/>
    <w:rsid w:val="00133764"/>
    <w:rsid w:val="00134126"/>
    <w:rsid w:val="0013434B"/>
    <w:rsid w:val="00134CD9"/>
    <w:rsid w:val="00134D2E"/>
    <w:rsid w:val="00134DFF"/>
    <w:rsid w:val="00134FC0"/>
    <w:rsid w:val="001356D9"/>
    <w:rsid w:val="00135A77"/>
    <w:rsid w:val="001361CB"/>
    <w:rsid w:val="0013668E"/>
    <w:rsid w:val="001368C5"/>
    <w:rsid w:val="00136900"/>
    <w:rsid w:val="0013723F"/>
    <w:rsid w:val="00137C1E"/>
    <w:rsid w:val="001419BB"/>
    <w:rsid w:val="00141A51"/>
    <w:rsid w:val="001423EA"/>
    <w:rsid w:val="001426C0"/>
    <w:rsid w:val="001426C6"/>
    <w:rsid w:val="00143625"/>
    <w:rsid w:val="001439BA"/>
    <w:rsid w:val="0014405F"/>
    <w:rsid w:val="00144A1A"/>
    <w:rsid w:val="001450F3"/>
    <w:rsid w:val="00145617"/>
    <w:rsid w:val="001458EB"/>
    <w:rsid w:val="00145E0B"/>
    <w:rsid w:val="00145F45"/>
    <w:rsid w:val="00146136"/>
    <w:rsid w:val="00146334"/>
    <w:rsid w:val="001468CA"/>
    <w:rsid w:val="00146B54"/>
    <w:rsid w:val="00146BB1"/>
    <w:rsid w:val="00146CEE"/>
    <w:rsid w:val="00146D10"/>
    <w:rsid w:val="00146EE3"/>
    <w:rsid w:val="001479FF"/>
    <w:rsid w:val="00147B86"/>
    <w:rsid w:val="00147C43"/>
    <w:rsid w:val="00150310"/>
    <w:rsid w:val="0015063D"/>
    <w:rsid w:val="00150641"/>
    <w:rsid w:val="00150A0D"/>
    <w:rsid w:val="001514CB"/>
    <w:rsid w:val="001518DA"/>
    <w:rsid w:val="00151E6E"/>
    <w:rsid w:val="001520F5"/>
    <w:rsid w:val="001526DB"/>
    <w:rsid w:val="00152811"/>
    <w:rsid w:val="00152B80"/>
    <w:rsid w:val="00152F66"/>
    <w:rsid w:val="00153111"/>
    <w:rsid w:val="001533DD"/>
    <w:rsid w:val="00153CE0"/>
    <w:rsid w:val="00153F04"/>
    <w:rsid w:val="001540D4"/>
    <w:rsid w:val="001542D9"/>
    <w:rsid w:val="00154833"/>
    <w:rsid w:val="00155028"/>
    <w:rsid w:val="001565B7"/>
    <w:rsid w:val="00156845"/>
    <w:rsid w:val="00156C44"/>
    <w:rsid w:val="00156E4E"/>
    <w:rsid w:val="00157822"/>
    <w:rsid w:val="00157BE3"/>
    <w:rsid w:val="0016079A"/>
    <w:rsid w:val="00160C30"/>
    <w:rsid w:val="00160E3A"/>
    <w:rsid w:val="00160EDD"/>
    <w:rsid w:val="0016155D"/>
    <w:rsid w:val="0016162D"/>
    <w:rsid w:val="00161C82"/>
    <w:rsid w:val="00161CC9"/>
    <w:rsid w:val="00162011"/>
    <w:rsid w:val="001626EF"/>
    <w:rsid w:val="00162A03"/>
    <w:rsid w:val="00162F9B"/>
    <w:rsid w:val="001634C2"/>
    <w:rsid w:val="00163626"/>
    <w:rsid w:val="00163766"/>
    <w:rsid w:val="00163F80"/>
    <w:rsid w:val="001645F3"/>
    <w:rsid w:val="001646FD"/>
    <w:rsid w:val="00164D05"/>
    <w:rsid w:val="00164F08"/>
    <w:rsid w:val="00166A4A"/>
    <w:rsid w:val="001671F9"/>
    <w:rsid w:val="001672DB"/>
    <w:rsid w:val="0016740B"/>
    <w:rsid w:val="001678A4"/>
    <w:rsid w:val="00167D85"/>
    <w:rsid w:val="00170798"/>
    <w:rsid w:val="00170D32"/>
    <w:rsid w:val="0017191A"/>
    <w:rsid w:val="00171A0D"/>
    <w:rsid w:val="00171C64"/>
    <w:rsid w:val="00171F5D"/>
    <w:rsid w:val="0017260C"/>
    <w:rsid w:val="001729AC"/>
    <w:rsid w:val="00172B71"/>
    <w:rsid w:val="00172EB8"/>
    <w:rsid w:val="00173224"/>
    <w:rsid w:val="001732D7"/>
    <w:rsid w:val="001736CE"/>
    <w:rsid w:val="00173893"/>
    <w:rsid w:val="00174A79"/>
    <w:rsid w:val="0017567A"/>
    <w:rsid w:val="00175C65"/>
    <w:rsid w:val="00176FAE"/>
    <w:rsid w:val="001770B2"/>
    <w:rsid w:val="00177814"/>
    <w:rsid w:val="00177BE0"/>
    <w:rsid w:val="00177ED9"/>
    <w:rsid w:val="00180717"/>
    <w:rsid w:val="0018178B"/>
    <w:rsid w:val="0018197D"/>
    <w:rsid w:val="00181AD8"/>
    <w:rsid w:val="00181E89"/>
    <w:rsid w:val="0018249C"/>
    <w:rsid w:val="001826ED"/>
    <w:rsid w:val="001826EE"/>
    <w:rsid w:val="00182DBD"/>
    <w:rsid w:val="0018302A"/>
    <w:rsid w:val="00183301"/>
    <w:rsid w:val="0018335C"/>
    <w:rsid w:val="001833CB"/>
    <w:rsid w:val="00183B14"/>
    <w:rsid w:val="00183BD5"/>
    <w:rsid w:val="00183D5C"/>
    <w:rsid w:val="0018436A"/>
    <w:rsid w:val="001843C6"/>
    <w:rsid w:val="00184F85"/>
    <w:rsid w:val="00185244"/>
    <w:rsid w:val="001853A7"/>
    <w:rsid w:val="001853F5"/>
    <w:rsid w:val="001869DE"/>
    <w:rsid w:val="001875E3"/>
    <w:rsid w:val="001877E1"/>
    <w:rsid w:val="00187A48"/>
    <w:rsid w:val="00187E33"/>
    <w:rsid w:val="00190338"/>
    <w:rsid w:val="00190AED"/>
    <w:rsid w:val="00190F2A"/>
    <w:rsid w:val="00191189"/>
    <w:rsid w:val="0019167A"/>
    <w:rsid w:val="00191BB4"/>
    <w:rsid w:val="00191E04"/>
    <w:rsid w:val="00192278"/>
    <w:rsid w:val="00192692"/>
    <w:rsid w:val="00192AD9"/>
    <w:rsid w:val="001930F8"/>
    <w:rsid w:val="001934E5"/>
    <w:rsid w:val="001935B1"/>
    <w:rsid w:val="0019467E"/>
    <w:rsid w:val="0019524B"/>
    <w:rsid w:val="00195F47"/>
    <w:rsid w:val="00196252"/>
    <w:rsid w:val="001967F9"/>
    <w:rsid w:val="00196883"/>
    <w:rsid w:val="00196A68"/>
    <w:rsid w:val="00196C7A"/>
    <w:rsid w:val="00196E89"/>
    <w:rsid w:val="001978EE"/>
    <w:rsid w:val="001A03FA"/>
    <w:rsid w:val="001A1522"/>
    <w:rsid w:val="001A19FD"/>
    <w:rsid w:val="001A1F88"/>
    <w:rsid w:val="001A23E8"/>
    <w:rsid w:val="001A2403"/>
    <w:rsid w:val="001A268B"/>
    <w:rsid w:val="001A2A80"/>
    <w:rsid w:val="001A2E5F"/>
    <w:rsid w:val="001A4442"/>
    <w:rsid w:val="001A4AED"/>
    <w:rsid w:val="001A4C97"/>
    <w:rsid w:val="001A54CE"/>
    <w:rsid w:val="001A566D"/>
    <w:rsid w:val="001A64C0"/>
    <w:rsid w:val="001A6CF4"/>
    <w:rsid w:val="001A7671"/>
    <w:rsid w:val="001A76D2"/>
    <w:rsid w:val="001A7A30"/>
    <w:rsid w:val="001A7BFF"/>
    <w:rsid w:val="001B06EA"/>
    <w:rsid w:val="001B093D"/>
    <w:rsid w:val="001B0B0A"/>
    <w:rsid w:val="001B0BAB"/>
    <w:rsid w:val="001B0D4B"/>
    <w:rsid w:val="001B1008"/>
    <w:rsid w:val="001B15C5"/>
    <w:rsid w:val="001B19BF"/>
    <w:rsid w:val="001B1CBE"/>
    <w:rsid w:val="001B1E8C"/>
    <w:rsid w:val="001B2597"/>
    <w:rsid w:val="001B295C"/>
    <w:rsid w:val="001B2FF9"/>
    <w:rsid w:val="001B3480"/>
    <w:rsid w:val="001B3531"/>
    <w:rsid w:val="001B387D"/>
    <w:rsid w:val="001B4C1E"/>
    <w:rsid w:val="001B514D"/>
    <w:rsid w:val="001B5621"/>
    <w:rsid w:val="001B57E8"/>
    <w:rsid w:val="001B5EEB"/>
    <w:rsid w:val="001B638C"/>
    <w:rsid w:val="001B68AC"/>
    <w:rsid w:val="001B6A91"/>
    <w:rsid w:val="001B6AD1"/>
    <w:rsid w:val="001B6BE1"/>
    <w:rsid w:val="001B703F"/>
    <w:rsid w:val="001B720F"/>
    <w:rsid w:val="001B7508"/>
    <w:rsid w:val="001C0300"/>
    <w:rsid w:val="001C054B"/>
    <w:rsid w:val="001C0787"/>
    <w:rsid w:val="001C0BA2"/>
    <w:rsid w:val="001C0E85"/>
    <w:rsid w:val="001C1065"/>
    <w:rsid w:val="001C10E6"/>
    <w:rsid w:val="001C11EF"/>
    <w:rsid w:val="001C170B"/>
    <w:rsid w:val="001C1824"/>
    <w:rsid w:val="001C1B04"/>
    <w:rsid w:val="001C1CFB"/>
    <w:rsid w:val="001C202B"/>
    <w:rsid w:val="001C2156"/>
    <w:rsid w:val="001C26F3"/>
    <w:rsid w:val="001C283A"/>
    <w:rsid w:val="001C2F80"/>
    <w:rsid w:val="001C3AFF"/>
    <w:rsid w:val="001C3E10"/>
    <w:rsid w:val="001C400C"/>
    <w:rsid w:val="001C40A2"/>
    <w:rsid w:val="001C416A"/>
    <w:rsid w:val="001C47F9"/>
    <w:rsid w:val="001C499F"/>
    <w:rsid w:val="001C4A47"/>
    <w:rsid w:val="001C5A7F"/>
    <w:rsid w:val="001C6271"/>
    <w:rsid w:val="001C6578"/>
    <w:rsid w:val="001C69D1"/>
    <w:rsid w:val="001C6D9C"/>
    <w:rsid w:val="001C7120"/>
    <w:rsid w:val="001C734A"/>
    <w:rsid w:val="001C7637"/>
    <w:rsid w:val="001C78D5"/>
    <w:rsid w:val="001C793F"/>
    <w:rsid w:val="001C7C6F"/>
    <w:rsid w:val="001D0559"/>
    <w:rsid w:val="001D08D7"/>
    <w:rsid w:val="001D1029"/>
    <w:rsid w:val="001D115F"/>
    <w:rsid w:val="001D14E1"/>
    <w:rsid w:val="001D1583"/>
    <w:rsid w:val="001D23B1"/>
    <w:rsid w:val="001D2546"/>
    <w:rsid w:val="001D258A"/>
    <w:rsid w:val="001D2AC7"/>
    <w:rsid w:val="001D2EEF"/>
    <w:rsid w:val="001D37FB"/>
    <w:rsid w:val="001D3C5F"/>
    <w:rsid w:val="001D3C67"/>
    <w:rsid w:val="001D3EFD"/>
    <w:rsid w:val="001D41BB"/>
    <w:rsid w:val="001D425D"/>
    <w:rsid w:val="001D4C0D"/>
    <w:rsid w:val="001D59D2"/>
    <w:rsid w:val="001D59D8"/>
    <w:rsid w:val="001D6028"/>
    <w:rsid w:val="001D634C"/>
    <w:rsid w:val="001D642A"/>
    <w:rsid w:val="001D6457"/>
    <w:rsid w:val="001D6E55"/>
    <w:rsid w:val="001D7360"/>
    <w:rsid w:val="001D776B"/>
    <w:rsid w:val="001D7B5D"/>
    <w:rsid w:val="001E0631"/>
    <w:rsid w:val="001E072C"/>
    <w:rsid w:val="001E0A03"/>
    <w:rsid w:val="001E1CAE"/>
    <w:rsid w:val="001E1CE1"/>
    <w:rsid w:val="001E24D6"/>
    <w:rsid w:val="001E2F8F"/>
    <w:rsid w:val="001E309D"/>
    <w:rsid w:val="001E30F0"/>
    <w:rsid w:val="001E3BA0"/>
    <w:rsid w:val="001E3D6B"/>
    <w:rsid w:val="001E44B2"/>
    <w:rsid w:val="001E4669"/>
    <w:rsid w:val="001E516D"/>
    <w:rsid w:val="001E54D9"/>
    <w:rsid w:val="001E55F8"/>
    <w:rsid w:val="001E5A80"/>
    <w:rsid w:val="001E5E05"/>
    <w:rsid w:val="001E5EC4"/>
    <w:rsid w:val="001E5ED4"/>
    <w:rsid w:val="001E5F01"/>
    <w:rsid w:val="001E5FC0"/>
    <w:rsid w:val="001E643E"/>
    <w:rsid w:val="001E6C80"/>
    <w:rsid w:val="001E7025"/>
    <w:rsid w:val="001E70C0"/>
    <w:rsid w:val="001E71CC"/>
    <w:rsid w:val="001E71D3"/>
    <w:rsid w:val="001E761F"/>
    <w:rsid w:val="001E7AA0"/>
    <w:rsid w:val="001F079C"/>
    <w:rsid w:val="001F0BC5"/>
    <w:rsid w:val="001F0E69"/>
    <w:rsid w:val="001F16C1"/>
    <w:rsid w:val="001F2095"/>
    <w:rsid w:val="001F24BC"/>
    <w:rsid w:val="001F2B7F"/>
    <w:rsid w:val="001F373D"/>
    <w:rsid w:val="001F39C9"/>
    <w:rsid w:val="001F3CB6"/>
    <w:rsid w:val="001F3D7C"/>
    <w:rsid w:val="001F4219"/>
    <w:rsid w:val="001F4845"/>
    <w:rsid w:val="001F4A2F"/>
    <w:rsid w:val="001F58D9"/>
    <w:rsid w:val="001F595F"/>
    <w:rsid w:val="001F5CEA"/>
    <w:rsid w:val="001F5F51"/>
    <w:rsid w:val="001F6004"/>
    <w:rsid w:val="001F61B8"/>
    <w:rsid w:val="001F6357"/>
    <w:rsid w:val="001F75DF"/>
    <w:rsid w:val="001F7DE8"/>
    <w:rsid w:val="00200387"/>
    <w:rsid w:val="00201786"/>
    <w:rsid w:val="002018AD"/>
    <w:rsid w:val="00201CA0"/>
    <w:rsid w:val="00201E36"/>
    <w:rsid w:val="00201EEB"/>
    <w:rsid w:val="00201F37"/>
    <w:rsid w:val="00202C5F"/>
    <w:rsid w:val="00202D6D"/>
    <w:rsid w:val="00203531"/>
    <w:rsid w:val="002037D9"/>
    <w:rsid w:val="00203F9A"/>
    <w:rsid w:val="00204354"/>
    <w:rsid w:val="0020452D"/>
    <w:rsid w:val="002051A2"/>
    <w:rsid w:val="00205584"/>
    <w:rsid w:val="00205639"/>
    <w:rsid w:val="002056E1"/>
    <w:rsid w:val="00205C39"/>
    <w:rsid w:val="00206186"/>
    <w:rsid w:val="002069AB"/>
    <w:rsid w:val="00206CBF"/>
    <w:rsid w:val="002071C4"/>
    <w:rsid w:val="00207371"/>
    <w:rsid w:val="0020778C"/>
    <w:rsid w:val="002079CC"/>
    <w:rsid w:val="00207C03"/>
    <w:rsid w:val="00210B9E"/>
    <w:rsid w:val="00211201"/>
    <w:rsid w:val="002112A8"/>
    <w:rsid w:val="002116BE"/>
    <w:rsid w:val="00211910"/>
    <w:rsid w:val="00211ADE"/>
    <w:rsid w:val="00211E3F"/>
    <w:rsid w:val="00211F63"/>
    <w:rsid w:val="00212551"/>
    <w:rsid w:val="0021323E"/>
    <w:rsid w:val="002137CE"/>
    <w:rsid w:val="00213850"/>
    <w:rsid w:val="00213A60"/>
    <w:rsid w:val="0021483B"/>
    <w:rsid w:val="00214C5A"/>
    <w:rsid w:val="00214E7B"/>
    <w:rsid w:val="00215519"/>
    <w:rsid w:val="00216427"/>
    <w:rsid w:val="00216540"/>
    <w:rsid w:val="00216AC7"/>
    <w:rsid w:val="00216E62"/>
    <w:rsid w:val="00217B3F"/>
    <w:rsid w:val="00220ED3"/>
    <w:rsid w:val="00221059"/>
    <w:rsid w:val="00221240"/>
    <w:rsid w:val="00221770"/>
    <w:rsid w:val="0022199A"/>
    <w:rsid w:val="00221B83"/>
    <w:rsid w:val="00221C7B"/>
    <w:rsid w:val="00221EB6"/>
    <w:rsid w:val="0022256B"/>
    <w:rsid w:val="002227C5"/>
    <w:rsid w:val="002228CE"/>
    <w:rsid w:val="00222DA7"/>
    <w:rsid w:val="00223808"/>
    <w:rsid w:val="00224032"/>
    <w:rsid w:val="00224162"/>
    <w:rsid w:val="0022434E"/>
    <w:rsid w:val="00224352"/>
    <w:rsid w:val="00224875"/>
    <w:rsid w:val="00224998"/>
    <w:rsid w:val="00224AF3"/>
    <w:rsid w:val="00224CF3"/>
    <w:rsid w:val="00225019"/>
    <w:rsid w:val="00225366"/>
    <w:rsid w:val="00225486"/>
    <w:rsid w:val="0022585C"/>
    <w:rsid w:val="0022678B"/>
    <w:rsid w:val="00226BFA"/>
    <w:rsid w:val="00226F83"/>
    <w:rsid w:val="002275C6"/>
    <w:rsid w:val="0023069D"/>
    <w:rsid w:val="00230CE6"/>
    <w:rsid w:val="00230D8C"/>
    <w:rsid w:val="00230F9D"/>
    <w:rsid w:val="00231E70"/>
    <w:rsid w:val="00231F72"/>
    <w:rsid w:val="002321D8"/>
    <w:rsid w:val="00232996"/>
    <w:rsid w:val="00232C71"/>
    <w:rsid w:val="00232CED"/>
    <w:rsid w:val="00233138"/>
    <w:rsid w:val="0023363E"/>
    <w:rsid w:val="002336E3"/>
    <w:rsid w:val="002339C9"/>
    <w:rsid w:val="00233BE7"/>
    <w:rsid w:val="0023475C"/>
    <w:rsid w:val="00234A00"/>
    <w:rsid w:val="00234E18"/>
    <w:rsid w:val="0023503A"/>
    <w:rsid w:val="00235242"/>
    <w:rsid w:val="00235FAF"/>
    <w:rsid w:val="002361B8"/>
    <w:rsid w:val="002361D7"/>
    <w:rsid w:val="002366C2"/>
    <w:rsid w:val="00236707"/>
    <w:rsid w:val="0023699C"/>
    <w:rsid w:val="002369F1"/>
    <w:rsid w:val="00236C89"/>
    <w:rsid w:val="00237502"/>
    <w:rsid w:val="0023778C"/>
    <w:rsid w:val="00237C7F"/>
    <w:rsid w:val="00237FF8"/>
    <w:rsid w:val="00240561"/>
    <w:rsid w:val="00240BB9"/>
    <w:rsid w:val="00240E44"/>
    <w:rsid w:val="00242773"/>
    <w:rsid w:val="00242981"/>
    <w:rsid w:val="00242CE6"/>
    <w:rsid w:val="00242D86"/>
    <w:rsid w:val="00242F85"/>
    <w:rsid w:val="00243B44"/>
    <w:rsid w:val="00244302"/>
    <w:rsid w:val="00244FCF"/>
    <w:rsid w:val="00245561"/>
    <w:rsid w:val="0024572A"/>
    <w:rsid w:val="0024573C"/>
    <w:rsid w:val="002458A6"/>
    <w:rsid w:val="00245A99"/>
    <w:rsid w:val="00245D84"/>
    <w:rsid w:val="00245F61"/>
    <w:rsid w:val="002466A9"/>
    <w:rsid w:val="00246B12"/>
    <w:rsid w:val="00246FAE"/>
    <w:rsid w:val="002473E4"/>
    <w:rsid w:val="0024748B"/>
    <w:rsid w:val="00247925"/>
    <w:rsid w:val="00247AF7"/>
    <w:rsid w:val="00247C24"/>
    <w:rsid w:val="002501BE"/>
    <w:rsid w:val="002501C2"/>
    <w:rsid w:val="002503BB"/>
    <w:rsid w:val="00250A36"/>
    <w:rsid w:val="00250DD4"/>
    <w:rsid w:val="00250F0C"/>
    <w:rsid w:val="0025118D"/>
    <w:rsid w:val="002514CB"/>
    <w:rsid w:val="002514E9"/>
    <w:rsid w:val="0025169D"/>
    <w:rsid w:val="002516C3"/>
    <w:rsid w:val="00251736"/>
    <w:rsid w:val="00251B56"/>
    <w:rsid w:val="00251F88"/>
    <w:rsid w:val="0025280F"/>
    <w:rsid w:val="00253004"/>
    <w:rsid w:val="00253818"/>
    <w:rsid w:val="00253BCA"/>
    <w:rsid w:val="00253D02"/>
    <w:rsid w:val="00253E0C"/>
    <w:rsid w:val="00253EFD"/>
    <w:rsid w:val="002547F8"/>
    <w:rsid w:val="00254D3A"/>
    <w:rsid w:val="00255658"/>
    <w:rsid w:val="0025585C"/>
    <w:rsid w:val="002558BA"/>
    <w:rsid w:val="00256005"/>
    <w:rsid w:val="002560EB"/>
    <w:rsid w:val="002563DA"/>
    <w:rsid w:val="00256664"/>
    <w:rsid w:val="002569D2"/>
    <w:rsid w:val="00256A59"/>
    <w:rsid w:val="00257163"/>
    <w:rsid w:val="00257409"/>
    <w:rsid w:val="002574B0"/>
    <w:rsid w:val="002574BA"/>
    <w:rsid w:val="002576F9"/>
    <w:rsid w:val="00257728"/>
    <w:rsid w:val="00257A32"/>
    <w:rsid w:val="00257E84"/>
    <w:rsid w:val="00260085"/>
    <w:rsid w:val="002606B5"/>
    <w:rsid w:val="00260813"/>
    <w:rsid w:val="00260888"/>
    <w:rsid w:val="00260B47"/>
    <w:rsid w:val="00260B8D"/>
    <w:rsid w:val="00260BD4"/>
    <w:rsid w:val="00260C02"/>
    <w:rsid w:val="00261141"/>
    <w:rsid w:val="00261E63"/>
    <w:rsid w:val="0026237E"/>
    <w:rsid w:val="002623B3"/>
    <w:rsid w:val="00262833"/>
    <w:rsid w:val="00262E66"/>
    <w:rsid w:val="002633B4"/>
    <w:rsid w:val="00263A29"/>
    <w:rsid w:val="00263A44"/>
    <w:rsid w:val="00263D3F"/>
    <w:rsid w:val="00263D56"/>
    <w:rsid w:val="00263F45"/>
    <w:rsid w:val="00264787"/>
    <w:rsid w:val="0026478A"/>
    <w:rsid w:val="002648F3"/>
    <w:rsid w:val="00264B53"/>
    <w:rsid w:val="00264ECB"/>
    <w:rsid w:val="00264EF8"/>
    <w:rsid w:val="00265271"/>
    <w:rsid w:val="002652BF"/>
    <w:rsid w:val="00265541"/>
    <w:rsid w:val="002659D9"/>
    <w:rsid w:val="00265A7D"/>
    <w:rsid w:val="002661B8"/>
    <w:rsid w:val="00266404"/>
    <w:rsid w:val="0026658C"/>
    <w:rsid w:val="00266745"/>
    <w:rsid w:val="00266766"/>
    <w:rsid w:val="0026695F"/>
    <w:rsid w:val="00266FB0"/>
    <w:rsid w:val="00267056"/>
    <w:rsid w:val="00270A2F"/>
    <w:rsid w:val="00270ABD"/>
    <w:rsid w:val="00272BEE"/>
    <w:rsid w:val="00272F76"/>
    <w:rsid w:val="00273423"/>
    <w:rsid w:val="00273F6E"/>
    <w:rsid w:val="002746B3"/>
    <w:rsid w:val="00274808"/>
    <w:rsid w:val="002748E0"/>
    <w:rsid w:val="002749AC"/>
    <w:rsid w:val="00274A4D"/>
    <w:rsid w:val="00274D1A"/>
    <w:rsid w:val="00274FFC"/>
    <w:rsid w:val="0027537A"/>
    <w:rsid w:val="00275447"/>
    <w:rsid w:val="002754E5"/>
    <w:rsid w:val="00275A38"/>
    <w:rsid w:val="002760FE"/>
    <w:rsid w:val="00276138"/>
    <w:rsid w:val="0027674A"/>
    <w:rsid w:val="00276ABD"/>
    <w:rsid w:val="00276EF6"/>
    <w:rsid w:val="00277273"/>
    <w:rsid w:val="00280344"/>
    <w:rsid w:val="00280CDC"/>
    <w:rsid w:val="00280D82"/>
    <w:rsid w:val="00281262"/>
    <w:rsid w:val="002815F3"/>
    <w:rsid w:val="0028167F"/>
    <w:rsid w:val="002816F8"/>
    <w:rsid w:val="002817C4"/>
    <w:rsid w:val="00281892"/>
    <w:rsid w:val="00281D0C"/>
    <w:rsid w:val="00281E9B"/>
    <w:rsid w:val="00281F3E"/>
    <w:rsid w:val="00282323"/>
    <w:rsid w:val="002824EA"/>
    <w:rsid w:val="00282697"/>
    <w:rsid w:val="002827FF"/>
    <w:rsid w:val="002828F5"/>
    <w:rsid w:val="00282978"/>
    <w:rsid w:val="00283AC7"/>
    <w:rsid w:val="002841F8"/>
    <w:rsid w:val="00284532"/>
    <w:rsid w:val="002849BD"/>
    <w:rsid w:val="00284E57"/>
    <w:rsid w:val="002853FA"/>
    <w:rsid w:val="002865FD"/>
    <w:rsid w:val="00286ED6"/>
    <w:rsid w:val="0028705E"/>
    <w:rsid w:val="00287B8A"/>
    <w:rsid w:val="00287DD6"/>
    <w:rsid w:val="0029079F"/>
    <w:rsid w:val="00290A3F"/>
    <w:rsid w:val="00290B39"/>
    <w:rsid w:val="002910F2"/>
    <w:rsid w:val="0029193A"/>
    <w:rsid w:val="002936BB"/>
    <w:rsid w:val="00293E2B"/>
    <w:rsid w:val="00294176"/>
    <w:rsid w:val="00294D9B"/>
    <w:rsid w:val="0029505B"/>
    <w:rsid w:val="00295976"/>
    <w:rsid w:val="00295983"/>
    <w:rsid w:val="00295C63"/>
    <w:rsid w:val="00295E4A"/>
    <w:rsid w:val="002967B8"/>
    <w:rsid w:val="00296FA1"/>
    <w:rsid w:val="00297195"/>
    <w:rsid w:val="002972E4"/>
    <w:rsid w:val="00297B2F"/>
    <w:rsid w:val="00297C71"/>
    <w:rsid w:val="002A0490"/>
    <w:rsid w:val="002A06CB"/>
    <w:rsid w:val="002A091C"/>
    <w:rsid w:val="002A14C6"/>
    <w:rsid w:val="002A2081"/>
    <w:rsid w:val="002A222C"/>
    <w:rsid w:val="002A25E5"/>
    <w:rsid w:val="002A2784"/>
    <w:rsid w:val="002A284A"/>
    <w:rsid w:val="002A2B69"/>
    <w:rsid w:val="002A3495"/>
    <w:rsid w:val="002A4134"/>
    <w:rsid w:val="002A429B"/>
    <w:rsid w:val="002A4302"/>
    <w:rsid w:val="002A521C"/>
    <w:rsid w:val="002A528E"/>
    <w:rsid w:val="002A6100"/>
    <w:rsid w:val="002A6390"/>
    <w:rsid w:val="002A6436"/>
    <w:rsid w:val="002A684B"/>
    <w:rsid w:val="002A6B24"/>
    <w:rsid w:val="002A7067"/>
    <w:rsid w:val="002A72D5"/>
    <w:rsid w:val="002A7555"/>
    <w:rsid w:val="002A7654"/>
    <w:rsid w:val="002A7DF2"/>
    <w:rsid w:val="002B07E2"/>
    <w:rsid w:val="002B08FE"/>
    <w:rsid w:val="002B0B62"/>
    <w:rsid w:val="002B0D62"/>
    <w:rsid w:val="002B0D95"/>
    <w:rsid w:val="002B0FBA"/>
    <w:rsid w:val="002B10F4"/>
    <w:rsid w:val="002B11E3"/>
    <w:rsid w:val="002B130F"/>
    <w:rsid w:val="002B16CC"/>
    <w:rsid w:val="002B242B"/>
    <w:rsid w:val="002B2663"/>
    <w:rsid w:val="002B2D39"/>
    <w:rsid w:val="002B3142"/>
    <w:rsid w:val="002B35BC"/>
    <w:rsid w:val="002B360A"/>
    <w:rsid w:val="002B41F7"/>
    <w:rsid w:val="002B42E6"/>
    <w:rsid w:val="002B440E"/>
    <w:rsid w:val="002B4725"/>
    <w:rsid w:val="002B4A04"/>
    <w:rsid w:val="002B4A1B"/>
    <w:rsid w:val="002B5478"/>
    <w:rsid w:val="002B5A42"/>
    <w:rsid w:val="002B6C78"/>
    <w:rsid w:val="002B6F9F"/>
    <w:rsid w:val="002B761F"/>
    <w:rsid w:val="002B7A87"/>
    <w:rsid w:val="002B7EC6"/>
    <w:rsid w:val="002C0030"/>
    <w:rsid w:val="002C0347"/>
    <w:rsid w:val="002C054B"/>
    <w:rsid w:val="002C06E8"/>
    <w:rsid w:val="002C0976"/>
    <w:rsid w:val="002C17DB"/>
    <w:rsid w:val="002C22CF"/>
    <w:rsid w:val="002C281A"/>
    <w:rsid w:val="002C3039"/>
    <w:rsid w:val="002C31CB"/>
    <w:rsid w:val="002C31CC"/>
    <w:rsid w:val="002C32D5"/>
    <w:rsid w:val="002C3325"/>
    <w:rsid w:val="002C366C"/>
    <w:rsid w:val="002C44F1"/>
    <w:rsid w:val="002C4614"/>
    <w:rsid w:val="002C4782"/>
    <w:rsid w:val="002C4B1F"/>
    <w:rsid w:val="002C5617"/>
    <w:rsid w:val="002C58AA"/>
    <w:rsid w:val="002C5D2F"/>
    <w:rsid w:val="002C5F28"/>
    <w:rsid w:val="002C6139"/>
    <w:rsid w:val="002C630A"/>
    <w:rsid w:val="002C644B"/>
    <w:rsid w:val="002C70B9"/>
    <w:rsid w:val="002C72C1"/>
    <w:rsid w:val="002C7EAF"/>
    <w:rsid w:val="002D04EF"/>
    <w:rsid w:val="002D0672"/>
    <w:rsid w:val="002D0899"/>
    <w:rsid w:val="002D0CE5"/>
    <w:rsid w:val="002D1043"/>
    <w:rsid w:val="002D181B"/>
    <w:rsid w:val="002D189B"/>
    <w:rsid w:val="002D1C3E"/>
    <w:rsid w:val="002D1F95"/>
    <w:rsid w:val="002D227E"/>
    <w:rsid w:val="002D2969"/>
    <w:rsid w:val="002D2FA5"/>
    <w:rsid w:val="002D31AF"/>
    <w:rsid w:val="002D346E"/>
    <w:rsid w:val="002D3607"/>
    <w:rsid w:val="002D37E4"/>
    <w:rsid w:val="002D428B"/>
    <w:rsid w:val="002D4B05"/>
    <w:rsid w:val="002D4BC6"/>
    <w:rsid w:val="002D4F70"/>
    <w:rsid w:val="002D58CD"/>
    <w:rsid w:val="002D5AF1"/>
    <w:rsid w:val="002D60B2"/>
    <w:rsid w:val="002D678C"/>
    <w:rsid w:val="002D6D74"/>
    <w:rsid w:val="002D7268"/>
    <w:rsid w:val="002D7340"/>
    <w:rsid w:val="002D73D0"/>
    <w:rsid w:val="002D7B92"/>
    <w:rsid w:val="002D7C29"/>
    <w:rsid w:val="002E0057"/>
    <w:rsid w:val="002E110B"/>
    <w:rsid w:val="002E2281"/>
    <w:rsid w:val="002E27DC"/>
    <w:rsid w:val="002E27E2"/>
    <w:rsid w:val="002E2B55"/>
    <w:rsid w:val="002E2B74"/>
    <w:rsid w:val="002E2D49"/>
    <w:rsid w:val="002E30CA"/>
    <w:rsid w:val="002E3A94"/>
    <w:rsid w:val="002E3F39"/>
    <w:rsid w:val="002E3F3C"/>
    <w:rsid w:val="002E41A0"/>
    <w:rsid w:val="002E4E43"/>
    <w:rsid w:val="002E751A"/>
    <w:rsid w:val="002F02D2"/>
    <w:rsid w:val="002F039E"/>
    <w:rsid w:val="002F0475"/>
    <w:rsid w:val="002F09F6"/>
    <w:rsid w:val="002F0C6C"/>
    <w:rsid w:val="002F13FC"/>
    <w:rsid w:val="002F176F"/>
    <w:rsid w:val="002F1903"/>
    <w:rsid w:val="002F1973"/>
    <w:rsid w:val="002F19F8"/>
    <w:rsid w:val="002F1ED7"/>
    <w:rsid w:val="002F209D"/>
    <w:rsid w:val="002F218E"/>
    <w:rsid w:val="002F21D4"/>
    <w:rsid w:val="002F21E0"/>
    <w:rsid w:val="002F2592"/>
    <w:rsid w:val="002F2678"/>
    <w:rsid w:val="002F29BE"/>
    <w:rsid w:val="002F2A81"/>
    <w:rsid w:val="002F30E1"/>
    <w:rsid w:val="002F334A"/>
    <w:rsid w:val="002F3DBF"/>
    <w:rsid w:val="002F411C"/>
    <w:rsid w:val="002F42D8"/>
    <w:rsid w:val="002F4384"/>
    <w:rsid w:val="002F4448"/>
    <w:rsid w:val="002F494F"/>
    <w:rsid w:val="002F567C"/>
    <w:rsid w:val="002F5CC7"/>
    <w:rsid w:val="002F5FB1"/>
    <w:rsid w:val="002F6104"/>
    <w:rsid w:val="002F66F9"/>
    <w:rsid w:val="002F67CF"/>
    <w:rsid w:val="002F6A5C"/>
    <w:rsid w:val="002F6C23"/>
    <w:rsid w:val="002F6C46"/>
    <w:rsid w:val="002F7B06"/>
    <w:rsid w:val="002F7B31"/>
    <w:rsid w:val="002F7E0D"/>
    <w:rsid w:val="002F7F6B"/>
    <w:rsid w:val="002F7FFB"/>
    <w:rsid w:val="003003FE"/>
    <w:rsid w:val="0030093F"/>
    <w:rsid w:val="00301537"/>
    <w:rsid w:val="003015ED"/>
    <w:rsid w:val="003019EC"/>
    <w:rsid w:val="00301B45"/>
    <w:rsid w:val="00301DB3"/>
    <w:rsid w:val="00301DFB"/>
    <w:rsid w:val="0030210B"/>
    <w:rsid w:val="003021DD"/>
    <w:rsid w:val="003022DB"/>
    <w:rsid w:val="003022F6"/>
    <w:rsid w:val="003028AA"/>
    <w:rsid w:val="003029F5"/>
    <w:rsid w:val="003029F8"/>
    <w:rsid w:val="00302F93"/>
    <w:rsid w:val="0030453C"/>
    <w:rsid w:val="00304899"/>
    <w:rsid w:val="00304C2C"/>
    <w:rsid w:val="00304CC9"/>
    <w:rsid w:val="00304D96"/>
    <w:rsid w:val="00305184"/>
    <w:rsid w:val="003052E5"/>
    <w:rsid w:val="00305F02"/>
    <w:rsid w:val="00306899"/>
    <w:rsid w:val="00306E12"/>
    <w:rsid w:val="00307110"/>
    <w:rsid w:val="00307DFE"/>
    <w:rsid w:val="003100AF"/>
    <w:rsid w:val="00310158"/>
    <w:rsid w:val="003103A8"/>
    <w:rsid w:val="00310610"/>
    <w:rsid w:val="00310651"/>
    <w:rsid w:val="00311452"/>
    <w:rsid w:val="00311A3D"/>
    <w:rsid w:val="0031200C"/>
    <w:rsid w:val="0031207F"/>
    <w:rsid w:val="00312998"/>
    <w:rsid w:val="00312D11"/>
    <w:rsid w:val="00313029"/>
    <w:rsid w:val="00313B1B"/>
    <w:rsid w:val="00314B43"/>
    <w:rsid w:val="00314CEA"/>
    <w:rsid w:val="00314E56"/>
    <w:rsid w:val="003151ED"/>
    <w:rsid w:val="00315BB0"/>
    <w:rsid w:val="00315D83"/>
    <w:rsid w:val="003169DA"/>
    <w:rsid w:val="00317027"/>
    <w:rsid w:val="003170DD"/>
    <w:rsid w:val="003176AB"/>
    <w:rsid w:val="003209AF"/>
    <w:rsid w:val="00321107"/>
    <w:rsid w:val="00321144"/>
    <w:rsid w:val="0032140E"/>
    <w:rsid w:val="00321F01"/>
    <w:rsid w:val="0032238E"/>
    <w:rsid w:val="0032255C"/>
    <w:rsid w:val="003225B7"/>
    <w:rsid w:val="00323137"/>
    <w:rsid w:val="00323202"/>
    <w:rsid w:val="00323673"/>
    <w:rsid w:val="00323967"/>
    <w:rsid w:val="00323BE0"/>
    <w:rsid w:val="00323E7E"/>
    <w:rsid w:val="00324434"/>
    <w:rsid w:val="00324637"/>
    <w:rsid w:val="003246CD"/>
    <w:rsid w:val="00324827"/>
    <w:rsid w:val="00324EDD"/>
    <w:rsid w:val="00326320"/>
    <w:rsid w:val="003263C3"/>
    <w:rsid w:val="00326403"/>
    <w:rsid w:val="003264EB"/>
    <w:rsid w:val="0032691B"/>
    <w:rsid w:val="00326AB7"/>
    <w:rsid w:val="00326E99"/>
    <w:rsid w:val="00326EAA"/>
    <w:rsid w:val="00327150"/>
    <w:rsid w:val="003274FD"/>
    <w:rsid w:val="003276BB"/>
    <w:rsid w:val="003301D4"/>
    <w:rsid w:val="0033020C"/>
    <w:rsid w:val="003305E1"/>
    <w:rsid w:val="00330A1F"/>
    <w:rsid w:val="003313CC"/>
    <w:rsid w:val="0033169E"/>
    <w:rsid w:val="0033293C"/>
    <w:rsid w:val="00332CC0"/>
    <w:rsid w:val="003331D8"/>
    <w:rsid w:val="003333FA"/>
    <w:rsid w:val="00333D1D"/>
    <w:rsid w:val="00334158"/>
    <w:rsid w:val="0033436A"/>
    <w:rsid w:val="00334ADF"/>
    <w:rsid w:val="00334FB4"/>
    <w:rsid w:val="0033528E"/>
    <w:rsid w:val="00335317"/>
    <w:rsid w:val="00335C96"/>
    <w:rsid w:val="003365DD"/>
    <w:rsid w:val="00336948"/>
    <w:rsid w:val="0033710B"/>
    <w:rsid w:val="0033749F"/>
    <w:rsid w:val="0034039C"/>
    <w:rsid w:val="003403C6"/>
    <w:rsid w:val="0034071B"/>
    <w:rsid w:val="00340941"/>
    <w:rsid w:val="00341054"/>
    <w:rsid w:val="003423B9"/>
    <w:rsid w:val="003424DA"/>
    <w:rsid w:val="00342749"/>
    <w:rsid w:val="0034274F"/>
    <w:rsid w:val="00342F1D"/>
    <w:rsid w:val="003431BB"/>
    <w:rsid w:val="00343BFB"/>
    <w:rsid w:val="00344014"/>
    <w:rsid w:val="00344158"/>
    <w:rsid w:val="00344CE5"/>
    <w:rsid w:val="00345160"/>
    <w:rsid w:val="0034517D"/>
    <w:rsid w:val="0034620B"/>
    <w:rsid w:val="003463D2"/>
    <w:rsid w:val="00346625"/>
    <w:rsid w:val="003467CC"/>
    <w:rsid w:val="00346E9F"/>
    <w:rsid w:val="0034742A"/>
    <w:rsid w:val="0034780F"/>
    <w:rsid w:val="00347BAA"/>
    <w:rsid w:val="003504EC"/>
    <w:rsid w:val="00350780"/>
    <w:rsid w:val="003509C5"/>
    <w:rsid w:val="00350A00"/>
    <w:rsid w:val="00350C94"/>
    <w:rsid w:val="00351E2D"/>
    <w:rsid w:val="003527FB"/>
    <w:rsid w:val="00352E95"/>
    <w:rsid w:val="0035338B"/>
    <w:rsid w:val="003536C2"/>
    <w:rsid w:val="00353CE4"/>
    <w:rsid w:val="00354DE1"/>
    <w:rsid w:val="0035523F"/>
    <w:rsid w:val="0035664C"/>
    <w:rsid w:val="00356659"/>
    <w:rsid w:val="0035676C"/>
    <w:rsid w:val="003567E3"/>
    <w:rsid w:val="00356C09"/>
    <w:rsid w:val="00356D8A"/>
    <w:rsid w:val="00356F24"/>
    <w:rsid w:val="003601EC"/>
    <w:rsid w:val="0036024D"/>
    <w:rsid w:val="0036033F"/>
    <w:rsid w:val="00360606"/>
    <w:rsid w:val="00360CAE"/>
    <w:rsid w:val="00361316"/>
    <w:rsid w:val="0036136D"/>
    <w:rsid w:val="0036136E"/>
    <w:rsid w:val="00361710"/>
    <w:rsid w:val="00361E9F"/>
    <w:rsid w:val="003623F3"/>
    <w:rsid w:val="003625C4"/>
    <w:rsid w:val="0036324C"/>
    <w:rsid w:val="00363D58"/>
    <w:rsid w:val="00363D8E"/>
    <w:rsid w:val="00364111"/>
    <w:rsid w:val="00364290"/>
    <w:rsid w:val="003642F5"/>
    <w:rsid w:val="00364410"/>
    <w:rsid w:val="00364C63"/>
    <w:rsid w:val="003651BF"/>
    <w:rsid w:val="00365756"/>
    <w:rsid w:val="003657BA"/>
    <w:rsid w:val="00365A9B"/>
    <w:rsid w:val="00365B74"/>
    <w:rsid w:val="00366635"/>
    <w:rsid w:val="00366DE2"/>
    <w:rsid w:val="00367497"/>
    <w:rsid w:val="00367762"/>
    <w:rsid w:val="003677E0"/>
    <w:rsid w:val="00367BAA"/>
    <w:rsid w:val="0037004B"/>
    <w:rsid w:val="0037013C"/>
    <w:rsid w:val="00370437"/>
    <w:rsid w:val="00370D56"/>
    <w:rsid w:val="003717D4"/>
    <w:rsid w:val="003718C9"/>
    <w:rsid w:val="0037269C"/>
    <w:rsid w:val="00372C61"/>
    <w:rsid w:val="00372CEE"/>
    <w:rsid w:val="003730A0"/>
    <w:rsid w:val="00373431"/>
    <w:rsid w:val="00373787"/>
    <w:rsid w:val="003738A0"/>
    <w:rsid w:val="00373AEB"/>
    <w:rsid w:val="00373CD0"/>
    <w:rsid w:val="003759F9"/>
    <w:rsid w:val="00375ED1"/>
    <w:rsid w:val="00375F79"/>
    <w:rsid w:val="00376224"/>
    <w:rsid w:val="003763D2"/>
    <w:rsid w:val="00376A98"/>
    <w:rsid w:val="00376BAB"/>
    <w:rsid w:val="00376CF4"/>
    <w:rsid w:val="003776E0"/>
    <w:rsid w:val="00377810"/>
    <w:rsid w:val="00377917"/>
    <w:rsid w:val="003801D4"/>
    <w:rsid w:val="00380544"/>
    <w:rsid w:val="0038076B"/>
    <w:rsid w:val="0038078A"/>
    <w:rsid w:val="00380C72"/>
    <w:rsid w:val="00380CFF"/>
    <w:rsid w:val="003812CE"/>
    <w:rsid w:val="003813D2"/>
    <w:rsid w:val="00381468"/>
    <w:rsid w:val="00381974"/>
    <w:rsid w:val="00381D7C"/>
    <w:rsid w:val="0038266C"/>
    <w:rsid w:val="003826F9"/>
    <w:rsid w:val="003828B1"/>
    <w:rsid w:val="00382BF1"/>
    <w:rsid w:val="0038352D"/>
    <w:rsid w:val="003836B3"/>
    <w:rsid w:val="00384980"/>
    <w:rsid w:val="00384A55"/>
    <w:rsid w:val="00384A56"/>
    <w:rsid w:val="00384C30"/>
    <w:rsid w:val="00384EF3"/>
    <w:rsid w:val="00385184"/>
    <w:rsid w:val="0038520D"/>
    <w:rsid w:val="003852AB"/>
    <w:rsid w:val="003853C8"/>
    <w:rsid w:val="00385549"/>
    <w:rsid w:val="003857A0"/>
    <w:rsid w:val="00385B3F"/>
    <w:rsid w:val="00386716"/>
    <w:rsid w:val="00386741"/>
    <w:rsid w:val="00386D7D"/>
    <w:rsid w:val="00386E8D"/>
    <w:rsid w:val="00386F8D"/>
    <w:rsid w:val="00387B71"/>
    <w:rsid w:val="0039095B"/>
    <w:rsid w:val="00390E51"/>
    <w:rsid w:val="003917C1"/>
    <w:rsid w:val="00391CE2"/>
    <w:rsid w:val="00391EA7"/>
    <w:rsid w:val="00392350"/>
    <w:rsid w:val="0039236B"/>
    <w:rsid w:val="003923D2"/>
    <w:rsid w:val="003927E4"/>
    <w:rsid w:val="00392EAE"/>
    <w:rsid w:val="0039312F"/>
    <w:rsid w:val="00393E66"/>
    <w:rsid w:val="00393F2B"/>
    <w:rsid w:val="00394CDD"/>
    <w:rsid w:val="00394DBA"/>
    <w:rsid w:val="003962A8"/>
    <w:rsid w:val="0039686D"/>
    <w:rsid w:val="00397201"/>
    <w:rsid w:val="00397485"/>
    <w:rsid w:val="00397790"/>
    <w:rsid w:val="00397850"/>
    <w:rsid w:val="00397BAF"/>
    <w:rsid w:val="00397D9A"/>
    <w:rsid w:val="003A0392"/>
    <w:rsid w:val="003A0AED"/>
    <w:rsid w:val="003A2077"/>
    <w:rsid w:val="003A2512"/>
    <w:rsid w:val="003A258B"/>
    <w:rsid w:val="003A2BB6"/>
    <w:rsid w:val="003A2D5B"/>
    <w:rsid w:val="003A2E7C"/>
    <w:rsid w:val="003A3754"/>
    <w:rsid w:val="003A3805"/>
    <w:rsid w:val="003A394A"/>
    <w:rsid w:val="003A3A18"/>
    <w:rsid w:val="003A3B85"/>
    <w:rsid w:val="003A3F9F"/>
    <w:rsid w:val="003A4290"/>
    <w:rsid w:val="003A4390"/>
    <w:rsid w:val="003A449C"/>
    <w:rsid w:val="003A50D3"/>
    <w:rsid w:val="003A5AA6"/>
    <w:rsid w:val="003A6E7A"/>
    <w:rsid w:val="003A7236"/>
    <w:rsid w:val="003A787C"/>
    <w:rsid w:val="003B0399"/>
    <w:rsid w:val="003B0900"/>
    <w:rsid w:val="003B0B47"/>
    <w:rsid w:val="003B0C33"/>
    <w:rsid w:val="003B0EBA"/>
    <w:rsid w:val="003B10D1"/>
    <w:rsid w:val="003B13DA"/>
    <w:rsid w:val="003B1A79"/>
    <w:rsid w:val="003B1E6E"/>
    <w:rsid w:val="003B22D5"/>
    <w:rsid w:val="003B2807"/>
    <w:rsid w:val="003B284D"/>
    <w:rsid w:val="003B28D7"/>
    <w:rsid w:val="003B2CA7"/>
    <w:rsid w:val="003B2D0A"/>
    <w:rsid w:val="003B2ECD"/>
    <w:rsid w:val="003B3337"/>
    <w:rsid w:val="003B3AE8"/>
    <w:rsid w:val="003B3B91"/>
    <w:rsid w:val="003B40CD"/>
    <w:rsid w:val="003B4279"/>
    <w:rsid w:val="003B48A3"/>
    <w:rsid w:val="003B4A51"/>
    <w:rsid w:val="003B5782"/>
    <w:rsid w:val="003B5D31"/>
    <w:rsid w:val="003B7060"/>
    <w:rsid w:val="003B746B"/>
    <w:rsid w:val="003B7A69"/>
    <w:rsid w:val="003B7BD3"/>
    <w:rsid w:val="003B7FE2"/>
    <w:rsid w:val="003C00E8"/>
    <w:rsid w:val="003C0749"/>
    <w:rsid w:val="003C08B4"/>
    <w:rsid w:val="003C0AB8"/>
    <w:rsid w:val="003C1AE2"/>
    <w:rsid w:val="003C2BAD"/>
    <w:rsid w:val="003C2FD4"/>
    <w:rsid w:val="003C3078"/>
    <w:rsid w:val="003C3655"/>
    <w:rsid w:val="003C3BF6"/>
    <w:rsid w:val="003C430E"/>
    <w:rsid w:val="003C4404"/>
    <w:rsid w:val="003C4751"/>
    <w:rsid w:val="003C4803"/>
    <w:rsid w:val="003C48AF"/>
    <w:rsid w:val="003C5C32"/>
    <w:rsid w:val="003C5DFF"/>
    <w:rsid w:val="003C5F54"/>
    <w:rsid w:val="003C666E"/>
    <w:rsid w:val="003C671D"/>
    <w:rsid w:val="003C6B66"/>
    <w:rsid w:val="003C6E13"/>
    <w:rsid w:val="003C7C7E"/>
    <w:rsid w:val="003D089F"/>
    <w:rsid w:val="003D09D0"/>
    <w:rsid w:val="003D0C3E"/>
    <w:rsid w:val="003D0E6E"/>
    <w:rsid w:val="003D1079"/>
    <w:rsid w:val="003D12E9"/>
    <w:rsid w:val="003D1310"/>
    <w:rsid w:val="003D14C7"/>
    <w:rsid w:val="003D1517"/>
    <w:rsid w:val="003D16D6"/>
    <w:rsid w:val="003D1EF7"/>
    <w:rsid w:val="003D257D"/>
    <w:rsid w:val="003D2A23"/>
    <w:rsid w:val="003D2C2F"/>
    <w:rsid w:val="003D2D0F"/>
    <w:rsid w:val="003D315A"/>
    <w:rsid w:val="003D3460"/>
    <w:rsid w:val="003D3499"/>
    <w:rsid w:val="003D3582"/>
    <w:rsid w:val="003D5439"/>
    <w:rsid w:val="003D5513"/>
    <w:rsid w:val="003D55F7"/>
    <w:rsid w:val="003D61A2"/>
    <w:rsid w:val="003D63AA"/>
    <w:rsid w:val="003D68F3"/>
    <w:rsid w:val="003D6C49"/>
    <w:rsid w:val="003D72EE"/>
    <w:rsid w:val="003D7488"/>
    <w:rsid w:val="003D75F3"/>
    <w:rsid w:val="003D7C38"/>
    <w:rsid w:val="003E0C77"/>
    <w:rsid w:val="003E0D43"/>
    <w:rsid w:val="003E1016"/>
    <w:rsid w:val="003E11A4"/>
    <w:rsid w:val="003E1655"/>
    <w:rsid w:val="003E186B"/>
    <w:rsid w:val="003E233C"/>
    <w:rsid w:val="003E2C41"/>
    <w:rsid w:val="003E2F54"/>
    <w:rsid w:val="003E312D"/>
    <w:rsid w:val="003E319F"/>
    <w:rsid w:val="003E3640"/>
    <w:rsid w:val="003E366E"/>
    <w:rsid w:val="003E3727"/>
    <w:rsid w:val="003E3A36"/>
    <w:rsid w:val="003E3BF4"/>
    <w:rsid w:val="003E3DC4"/>
    <w:rsid w:val="003E4A44"/>
    <w:rsid w:val="003E4BC2"/>
    <w:rsid w:val="003E4F6C"/>
    <w:rsid w:val="003E50F1"/>
    <w:rsid w:val="003E564B"/>
    <w:rsid w:val="003E5AB2"/>
    <w:rsid w:val="003E5BAA"/>
    <w:rsid w:val="003E5C39"/>
    <w:rsid w:val="003E61C4"/>
    <w:rsid w:val="003E6C16"/>
    <w:rsid w:val="003E736E"/>
    <w:rsid w:val="003E7590"/>
    <w:rsid w:val="003F0F31"/>
    <w:rsid w:val="003F1054"/>
    <w:rsid w:val="003F137E"/>
    <w:rsid w:val="003F1F17"/>
    <w:rsid w:val="003F2018"/>
    <w:rsid w:val="003F20BB"/>
    <w:rsid w:val="003F25D7"/>
    <w:rsid w:val="003F2972"/>
    <w:rsid w:val="003F29BC"/>
    <w:rsid w:val="003F2A67"/>
    <w:rsid w:val="003F2B16"/>
    <w:rsid w:val="003F2D97"/>
    <w:rsid w:val="003F3C9A"/>
    <w:rsid w:val="003F3EDE"/>
    <w:rsid w:val="003F4696"/>
    <w:rsid w:val="003F46C4"/>
    <w:rsid w:val="003F4F59"/>
    <w:rsid w:val="003F4FA6"/>
    <w:rsid w:val="003F522F"/>
    <w:rsid w:val="003F5258"/>
    <w:rsid w:val="003F5A5A"/>
    <w:rsid w:val="003F5A8D"/>
    <w:rsid w:val="003F5B00"/>
    <w:rsid w:val="003F5FD5"/>
    <w:rsid w:val="003F60DC"/>
    <w:rsid w:val="003F6939"/>
    <w:rsid w:val="003F694D"/>
    <w:rsid w:val="003F7815"/>
    <w:rsid w:val="00401721"/>
    <w:rsid w:val="00401BB3"/>
    <w:rsid w:val="00401EF3"/>
    <w:rsid w:val="00401F7B"/>
    <w:rsid w:val="00401FE4"/>
    <w:rsid w:val="00401FE9"/>
    <w:rsid w:val="00402063"/>
    <w:rsid w:val="0040209D"/>
    <w:rsid w:val="004028CF"/>
    <w:rsid w:val="004028EE"/>
    <w:rsid w:val="00402EA4"/>
    <w:rsid w:val="00403733"/>
    <w:rsid w:val="00403A25"/>
    <w:rsid w:val="00403B71"/>
    <w:rsid w:val="00403FE3"/>
    <w:rsid w:val="0040424F"/>
    <w:rsid w:val="00404503"/>
    <w:rsid w:val="0040477A"/>
    <w:rsid w:val="00404D83"/>
    <w:rsid w:val="0040521A"/>
    <w:rsid w:val="00405255"/>
    <w:rsid w:val="00405670"/>
    <w:rsid w:val="004061DB"/>
    <w:rsid w:val="00406C86"/>
    <w:rsid w:val="00406F47"/>
    <w:rsid w:val="00406F57"/>
    <w:rsid w:val="00407C4C"/>
    <w:rsid w:val="00407F38"/>
    <w:rsid w:val="004100B4"/>
    <w:rsid w:val="004103C1"/>
    <w:rsid w:val="00410570"/>
    <w:rsid w:val="0041088D"/>
    <w:rsid w:val="00410915"/>
    <w:rsid w:val="00410B1E"/>
    <w:rsid w:val="00410B74"/>
    <w:rsid w:val="00410C86"/>
    <w:rsid w:val="00411244"/>
    <w:rsid w:val="00411559"/>
    <w:rsid w:val="00411F4D"/>
    <w:rsid w:val="00412228"/>
    <w:rsid w:val="00412253"/>
    <w:rsid w:val="00412286"/>
    <w:rsid w:val="004126D0"/>
    <w:rsid w:val="00413F61"/>
    <w:rsid w:val="004143E6"/>
    <w:rsid w:val="004144B7"/>
    <w:rsid w:val="00414CD2"/>
    <w:rsid w:val="004154CE"/>
    <w:rsid w:val="004166F5"/>
    <w:rsid w:val="00416959"/>
    <w:rsid w:val="00416B61"/>
    <w:rsid w:val="00416D38"/>
    <w:rsid w:val="00416E50"/>
    <w:rsid w:val="00417485"/>
    <w:rsid w:val="004174FA"/>
    <w:rsid w:val="00417BA0"/>
    <w:rsid w:val="004200D5"/>
    <w:rsid w:val="00420CA4"/>
    <w:rsid w:val="00420D1A"/>
    <w:rsid w:val="00420DDC"/>
    <w:rsid w:val="0042128C"/>
    <w:rsid w:val="00421B6F"/>
    <w:rsid w:val="00421C9F"/>
    <w:rsid w:val="00422062"/>
    <w:rsid w:val="00422AD0"/>
    <w:rsid w:val="004233FD"/>
    <w:rsid w:val="00423A19"/>
    <w:rsid w:val="00423B9D"/>
    <w:rsid w:val="00423CEF"/>
    <w:rsid w:val="00424115"/>
    <w:rsid w:val="00424187"/>
    <w:rsid w:val="00424451"/>
    <w:rsid w:val="0042488F"/>
    <w:rsid w:val="004249E7"/>
    <w:rsid w:val="00425575"/>
    <w:rsid w:val="004255EF"/>
    <w:rsid w:val="004257A1"/>
    <w:rsid w:val="00425D2F"/>
    <w:rsid w:val="00426083"/>
    <w:rsid w:val="004261FB"/>
    <w:rsid w:val="0042643E"/>
    <w:rsid w:val="004264DC"/>
    <w:rsid w:val="00426976"/>
    <w:rsid w:val="004269B0"/>
    <w:rsid w:val="00426A63"/>
    <w:rsid w:val="00426B75"/>
    <w:rsid w:val="00426DF5"/>
    <w:rsid w:val="004270CD"/>
    <w:rsid w:val="004276AC"/>
    <w:rsid w:val="00427839"/>
    <w:rsid w:val="00427BFC"/>
    <w:rsid w:val="00427DD4"/>
    <w:rsid w:val="00430CF9"/>
    <w:rsid w:val="0043181A"/>
    <w:rsid w:val="0043193A"/>
    <w:rsid w:val="00431F1A"/>
    <w:rsid w:val="00431F88"/>
    <w:rsid w:val="00432072"/>
    <w:rsid w:val="00432220"/>
    <w:rsid w:val="004322B5"/>
    <w:rsid w:val="004323C4"/>
    <w:rsid w:val="00432B56"/>
    <w:rsid w:val="00433318"/>
    <w:rsid w:val="00433C01"/>
    <w:rsid w:val="00434519"/>
    <w:rsid w:val="00434751"/>
    <w:rsid w:val="00434A21"/>
    <w:rsid w:val="00434E83"/>
    <w:rsid w:val="00434EA7"/>
    <w:rsid w:val="00434ECC"/>
    <w:rsid w:val="00435687"/>
    <w:rsid w:val="00435705"/>
    <w:rsid w:val="004358D0"/>
    <w:rsid w:val="004358DA"/>
    <w:rsid w:val="00435FDE"/>
    <w:rsid w:val="00436460"/>
    <w:rsid w:val="00436471"/>
    <w:rsid w:val="004367CC"/>
    <w:rsid w:val="00437091"/>
    <w:rsid w:val="00437251"/>
    <w:rsid w:val="00437365"/>
    <w:rsid w:val="00437B5E"/>
    <w:rsid w:val="004400EB"/>
    <w:rsid w:val="00440155"/>
    <w:rsid w:val="00440622"/>
    <w:rsid w:val="00440CDA"/>
    <w:rsid w:val="00440F12"/>
    <w:rsid w:val="004413EE"/>
    <w:rsid w:val="004419D7"/>
    <w:rsid w:val="00441A2F"/>
    <w:rsid w:val="0044316B"/>
    <w:rsid w:val="00443BDE"/>
    <w:rsid w:val="00443C29"/>
    <w:rsid w:val="00444C58"/>
    <w:rsid w:val="00444EE9"/>
    <w:rsid w:val="00445230"/>
    <w:rsid w:val="00445656"/>
    <w:rsid w:val="004457D9"/>
    <w:rsid w:val="00445E8D"/>
    <w:rsid w:val="00446B75"/>
    <w:rsid w:val="00446C93"/>
    <w:rsid w:val="00447336"/>
    <w:rsid w:val="00447634"/>
    <w:rsid w:val="00447E2E"/>
    <w:rsid w:val="00450268"/>
    <w:rsid w:val="0045036D"/>
    <w:rsid w:val="004515E9"/>
    <w:rsid w:val="004515F6"/>
    <w:rsid w:val="00451B8C"/>
    <w:rsid w:val="00451E2E"/>
    <w:rsid w:val="00452091"/>
    <w:rsid w:val="00452152"/>
    <w:rsid w:val="004525F3"/>
    <w:rsid w:val="004526B9"/>
    <w:rsid w:val="00452D81"/>
    <w:rsid w:val="00452F5B"/>
    <w:rsid w:val="004537C8"/>
    <w:rsid w:val="00453FEB"/>
    <w:rsid w:val="00454260"/>
    <w:rsid w:val="0045448A"/>
    <w:rsid w:val="0045453A"/>
    <w:rsid w:val="004547E4"/>
    <w:rsid w:val="00454902"/>
    <w:rsid w:val="00454A1D"/>
    <w:rsid w:val="00454AF3"/>
    <w:rsid w:val="00454B57"/>
    <w:rsid w:val="00454CE7"/>
    <w:rsid w:val="00454EBA"/>
    <w:rsid w:val="00455845"/>
    <w:rsid w:val="004558E2"/>
    <w:rsid w:val="00455FF8"/>
    <w:rsid w:val="00456ADB"/>
    <w:rsid w:val="004579B1"/>
    <w:rsid w:val="00457D00"/>
    <w:rsid w:val="00457D62"/>
    <w:rsid w:val="00457E8F"/>
    <w:rsid w:val="00457F44"/>
    <w:rsid w:val="0046059F"/>
    <w:rsid w:val="00460BFF"/>
    <w:rsid w:val="00460E53"/>
    <w:rsid w:val="00461392"/>
    <w:rsid w:val="004613C3"/>
    <w:rsid w:val="0046141D"/>
    <w:rsid w:val="0046157B"/>
    <w:rsid w:val="00461B63"/>
    <w:rsid w:val="00461F37"/>
    <w:rsid w:val="00462734"/>
    <w:rsid w:val="00462852"/>
    <w:rsid w:val="004633E2"/>
    <w:rsid w:val="00463424"/>
    <w:rsid w:val="004638E2"/>
    <w:rsid w:val="00464813"/>
    <w:rsid w:val="004655D1"/>
    <w:rsid w:val="0046574E"/>
    <w:rsid w:val="00465948"/>
    <w:rsid w:val="00466D47"/>
    <w:rsid w:val="00466F3A"/>
    <w:rsid w:val="00466F40"/>
    <w:rsid w:val="00470469"/>
    <w:rsid w:val="00470598"/>
    <w:rsid w:val="00470638"/>
    <w:rsid w:val="0047103C"/>
    <w:rsid w:val="00471591"/>
    <w:rsid w:val="00471713"/>
    <w:rsid w:val="004719FC"/>
    <w:rsid w:val="00472708"/>
    <w:rsid w:val="00472F4A"/>
    <w:rsid w:val="00473020"/>
    <w:rsid w:val="0047305B"/>
    <w:rsid w:val="00473174"/>
    <w:rsid w:val="004732C1"/>
    <w:rsid w:val="0047344A"/>
    <w:rsid w:val="00473750"/>
    <w:rsid w:val="004742BB"/>
    <w:rsid w:val="00474968"/>
    <w:rsid w:val="004749D2"/>
    <w:rsid w:val="00474DA7"/>
    <w:rsid w:val="00474EE2"/>
    <w:rsid w:val="004754C1"/>
    <w:rsid w:val="00475A5E"/>
    <w:rsid w:val="00475D5B"/>
    <w:rsid w:val="004762EA"/>
    <w:rsid w:val="0047709B"/>
    <w:rsid w:val="0047744D"/>
    <w:rsid w:val="0048059C"/>
    <w:rsid w:val="004805AE"/>
    <w:rsid w:val="004805E2"/>
    <w:rsid w:val="00480635"/>
    <w:rsid w:val="00480EDE"/>
    <w:rsid w:val="00481A9D"/>
    <w:rsid w:val="00481E19"/>
    <w:rsid w:val="00482151"/>
    <w:rsid w:val="0048242C"/>
    <w:rsid w:val="004825C7"/>
    <w:rsid w:val="00482DE3"/>
    <w:rsid w:val="00483B1E"/>
    <w:rsid w:val="00483B9C"/>
    <w:rsid w:val="00484745"/>
    <w:rsid w:val="00484B7D"/>
    <w:rsid w:val="00484E20"/>
    <w:rsid w:val="00485448"/>
    <w:rsid w:val="00485907"/>
    <w:rsid w:val="004859DA"/>
    <w:rsid w:val="00485F47"/>
    <w:rsid w:val="0048602E"/>
    <w:rsid w:val="0048607C"/>
    <w:rsid w:val="00486696"/>
    <w:rsid w:val="00486F57"/>
    <w:rsid w:val="00487360"/>
    <w:rsid w:val="00487EFF"/>
    <w:rsid w:val="00487FB3"/>
    <w:rsid w:val="00490072"/>
    <w:rsid w:val="00490821"/>
    <w:rsid w:val="00490E55"/>
    <w:rsid w:val="00490F28"/>
    <w:rsid w:val="0049136E"/>
    <w:rsid w:val="0049275D"/>
    <w:rsid w:val="004929A4"/>
    <w:rsid w:val="00493068"/>
    <w:rsid w:val="00493341"/>
    <w:rsid w:val="00493938"/>
    <w:rsid w:val="00493C01"/>
    <w:rsid w:val="004942BD"/>
    <w:rsid w:val="00494561"/>
    <w:rsid w:val="004946C5"/>
    <w:rsid w:val="00494BAE"/>
    <w:rsid w:val="00494CC2"/>
    <w:rsid w:val="00494CCB"/>
    <w:rsid w:val="004950BB"/>
    <w:rsid w:val="004953F6"/>
    <w:rsid w:val="0049601B"/>
    <w:rsid w:val="004968B7"/>
    <w:rsid w:val="00496D0A"/>
    <w:rsid w:val="00496F54"/>
    <w:rsid w:val="004973BC"/>
    <w:rsid w:val="00497579"/>
    <w:rsid w:val="0049774B"/>
    <w:rsid w:val="00497779"/>
    <w:rsid w:val="00497F0E"/>
    <w:rsid w:val="00497FFA"/>
    <w:rsid w:val="004A0218"/>
    <w:rsid w:val="004A0353"/>
    <w:rsid w:val="004A0888"/>
    <w:rsid w:val="004A08A5"/>
    <w:rsid w:val="004A0AD7"/>
    <w:rsid w:val="004A1904"/>
    <w:rsid w:val="004A1AA1"/>
    <w:rsid w:val="004A2E20"/>
    <w:rsid w:val="004A30C4"/>
    <w:rsid w:val="004A3747"/>
    <w:rsid w:val="004A3949"/>
    <w:rsid w:val="004A3BEE"/>
    <w:rsid w:val="004A3D90"/>
    <w:rsid w:val="004A3DF3"/>
    <w:rsid w:val="004A3F06"/>
    <w:rsid w:val="004A4CF4"/>
    <w:rsid w:val="004A5180"/>
    <w:rsid w:val="004A5566"/>
    <w:rsid w:val="004A566C"/>
    <w:rsid w:val="004A5C02"/>
    <w:rsid w:val="004A5F3C"/>
    <w:rsid w:val="004A61AF"/>
    <w:rsid w:val="004A649F"/>
    <w:rsid w:val="004A6555"/>
    <w:rsid w:val="004A6996"/>
    <w:rsid w:val="004A7A3F"/>
    <w:rsid w:val="004B0335"/>
    <w:rsid w:val="004B0A62"/>
    <w:rsid w:val="004B0EBB"/>
    <w:rsid w:val="004B10D0"/>
    <w:rsid w:val="004B1618"/>
    <w:rsid w:val="004B1C38"/>
    <w:rsid w:val="004B2457"/>
    <w:rsid w:val="004B289D"/>
    <w:rsid w:val="004B28CC"/>
    <w:rsid w:val="004B330B"/>
    <w:rsid w:val="004B3550"/>
    <w:rsid w:val="004B3DEA"/>
    <w:rsid w:val="004B455B"/>
    <w:rsid w:val="004B48E8"/>
    <w:rsid w:val="004B5393"/>
    <w:rsid w:val="004B5476"/>
    <w:rsid w:val="004B5C26"/>
    <w:rsid w:val="004B607F"/>
    <w:rsid w:val="004B68B0"/>
    <w:rsid w:val="004B68D5"/>
    <w:rsid w:val="004B6E05"/>
    <w:rsid w:val="004B7CA6"/>
    <w:rsid w:val="004C0265"/>
    <w:rsid w:val="004C0E58"/>
    <w:rsid w:val="004C147D"/>
    <w:rsid w:val="004C164C"/>
    <w:rsid w:val="004C1A44"/>
    <w:rsid w:val="004C1B39"/>
    <w:rsid w:val="004C21A3"/>
    <w:rsid w:val="004C27FD"/>
    <w:rsid w:val="004C2C2C"/>
    <w:rsid w:val="004C2D22"/>
    <w:rsid w:val="004C2DA3"/>
    <w:rsid w:val="004C350D"/>
    <w:rsid w:val="004C3807"/>
    <w:rsid w:val="004C3974"/>
    <w:rsid w:val="004C3B1B"/>
    <w:rsid w:val="004C3E1C"/>
    <w:rsid w:val="004C3E32"/>
    <w:rsid w:val="004C4BC6"/>
    <w:rsid w:val="004C505D"/>
    <w:rsid w:val="004C5264"/>
    <w:rsid w:val="004C555C"/>
    <w:rsid w:val="004C5C21"/>
    <w:rsid w:val="004C639B"/>
    <w:rsid w:val="004C64EC"/>
    <w:rsid w:val="004C6D63"/>
    <w:rsid w:val="004C748F"/>
    <w:rsid w:val="004C7A3C"/>
    <w:rsid w:val="004C7B05"/>
    <w:rsid w:val="004C7FE5"/>
    <w:rsid w:val="004D02D0"/>
    <w:rsid w:val="004D031B"/>
    <w:rsid w:val="004D049D"/>
    <w:rsid w:val="004D05A5"/>
    <w:rsid w:val="004D071C"/>
    <w:rsid w:val="004D1540"/>
    <w:rsid w:val="004D1BDC"/>
    <w:rsid w:val="004D1E9D"/>
    <w:rsid w:val="004D2242"/>
    <w:rsid w:val="004D2447"/>
    <w:rsid w:val="004D24A3"/>
    <w:rsid w:val="004D2D8D"/>
    <w:rsid w:val="004D2F04"/>
    <w:rsid w:val="004D2FC5"/>
    <w:rsid w:val="004D3393"/>
    <w:rsid w:val="004D4B73"/>
    <w:rsid w:val="004D529D"/>
    <w:rsid w:val="004D5AD8"/>
    <w:rsid w:val="004D5DCC"/>
    <w:rsid w:val="004D708F"/>
    <w:rsid w:val="004D7453"/>
    <w:rsid w:val="004D74C0"/>
    <w:rsid w:val="004E02C4"/>
    <w:rsid w:val="004E085D"/>
    <w:rsid w:val="004E10A4"/>
    <w:rsid w:val="004E18CA"/>
    <w:rsid w:val="004E1C3D"/>
    <w:rsid w:val="004E1D64"/>
    <w:rsid w:val="004E1F5A"/>
    <w:rsid w:val="004E22DB"/>
    <w:rsid w:val="004E256E"/>
    <w:rsid w:val="004E2BA1"/>
    <w:rsid w:val="004E2F8D"/>
    <w:rsid w:val="004E2FD9"/>
    <w:rsid w:val="004E40EE"/>
    <w:rsid w:val="004E4A38"/>
    <w:rsid w:val="004E5630"/>
    <w:rsid w:val="004E5EA4"/>
    <w:rsid w:val="004E7441"/>
    <w:rsid w:val="004E751E"/>
    <w:rsid w:val="004E75F1"/>
    <w:rsid w:val="004E789B"/>
    <w:rsid w:val="004F07E3"/>
    <w:rsid w:val="004F0C4D"/>
    <w:rsid w:val="004F0DAB"/>
    <w:rsid w:val="004F163E"/>
    <w:rsid w:val="004F1984"/>
    <w:rsid w:val="004F1FBF"/>
    <w:rsid w:val="004F23D6"/>
    <w:rsid w:val="004F262C"/>
    <w:rsid w:val="004F277E"/>
    <w:rsid w:val="004F27F2"/>
    <w:rsid w:val="004F2A83"/>
    <w:rsid w:val="004F3355"/>
    <w:rsid w:val="004F33C4"/>
    <w:rsid w:val="004F3B83"/>
    <w:rsid w:val="004F3BC8"/>
    <w:rsid w:val="004F4038"/>
    <w:rsid w:val="004F4543"/>
    <w:rsid w:val="004F4880"/>
    <w:rsid w:val="004F49A7"/>
    <w:rsid w:val="004F5154"/>
    <w:rsid w:val="004F59CC"/>
    <w:rsid w:val="004F5C7F"/>
    <w:rsid w:val="004F6EA5"/>
    <w:rsid w:val="004F6F5F"/>
    <w:rsid w:val="004F75E3"/>
    <w:rsid w:val="004F7E69"/>
    <w:rsid w:val="004F7EAD"/>
    <w:rsid w:val="0050097A"/>
    <w:rsid w:val="005009B8"/>
    <w:rsid w:val="00500D5C"/>
    <w:rsid w:val="00500F5C"/>
    <w:rsid w:val="00501357"/>
    <w:rsid w:val="005019EB"/>
    <w:rsid w:val="005022B3"/>
    <w:rsid w:val="005027F0"/>
    <w:rsid w:val="005035E2"/>
    <w:rsid w:val="00503CC7"/>
    <w:rsid w:val="005045F3"/>
    <w:rsid w:val="00504761"/>
    <w:rsid w:val="00504D28"/>
    <w:rsid w:val="00504D37"/>
    <w:rsid w:val="0050546D"/>
    <w:rsid w:val="00505AA6"/>
    <w:rsid w:val="00505D49"/>
    <w:rsid w:val="00506219"/>
    <w:rsid w:val="005068EE"/>
    <w:rsid w:val="00506AA2"/>
    <w:rsid w:val="0050707B"/>
    <w:rsid w:val="00507711"/>
    <w:rsid w:val="00507A67"/>
    <w:rsid w:val="00507B78"/>
    <w:rsid w:val="00507C7A"/>
    <w:rsid w:val="0051059E"/>
    <w:rsid w:val="00510AF9"/>
    <w:rsid w:val="00510B13"/>
    <w:rsid w:val="00511934"/>
    <w:rsid w:val="00511D6A"/>
    <w:rsid w:val="00512380"/>
    <w:rsid w:val="00512701"/>
    <w:rsid w:val="005131CF"/>
    <w:rsid w:val="0051327D"/>
    <w:rsid w:val="005133FC"/>
    <w:rsid w:val="005134A2"/>
    <w:rsid w:val="00513A4A"/>
    <w:rsid w:val="00513AA7"/>
    <w:rsid w:val="00513AAB"/>
    <w:rsid w:val="00513DCD"/>
    <w:rsid w:val="00514B36"/>
    <w:rsid w:val="00514E59"/>
    <w:rsid w:val="00515538"/>
    <w:rsid w:val="005156D4"/>
    <w:rsid w:val="00515889"/>
    <w:rsid w:val="0051680D"/>
    <w:rsid w:val="00516AD0"/>
    <w:rsid w:val="0051747E"/>
    <w:rsid w:val="00517BC1"/>
    <w:rsid w:val="00517C4F"/>
    <w:rsid w:val="00517F64"/>
    <w:rsid w:val="00520081"/>
    <w:rsid w:val="00520367"/>
    <w:rsid w:val="00520506"/>
    <w:rsid w:val="00520C42"/>
    <w:rsid w:val="00520E7E"/>
    <w:rsid w:val="00521ABB"/>
    <w:rsid w:val="0052233B"/>
    <w:rsid w:val="00523094"/>
    <w:rsid w:val="005238E8"/>
    <w:rsid w:val="00523DF7"/>
    <w:rsid w:val="00523EFD"/>
    <w:rsid w:val="00524572"/>
    <w:rsid w:val="00524665"/>
    <w:rsid w:val="005248C9"/>
    <w:rsid w:val="00524EFC"/>
    <w:rsid w:val="00524F6A"/>
    <w:rsid w:val="00525296"/>
    <w:rsid w:val="005252BB"/>
    <w:rsid w:val="00525428"/>
    <w:rsid w:val="0052585B"/>
    <w:rsid w:val="00525BC7"/>
    <w:rsid w:val="00525C25"/>
    <w:rsid w:val="005260C6"/>
    <w:rsid w:val="00526A00"/>
    <w:rsid w:val="00526A58"/>
    <w:rsid w:val="00526B60"/>
    <w:rsid w:val="005272C8"/>
    <w:rsid w:val="00527372"/>
    <w:rsid w:val="0052794E"/>
    <w:rsid w:val="00527BB5"/>
    <w:rsid w:val="0053011B"/>
    <w:rsid w:val="00530400"/>
    <w:rsid w:val="00530655"/>
    <w:rsid w:val="0053096E"/>
    <w:rsid w:val="005309BD"/>
    <w:rsid w:val="00530A22"/>
    <w:rsid w:val="005313CA"/>
    <w:rsid w:val="005317BF"/>
    <w:rsid w:val="005317E2"/>
    <w:rsid w:val="005319BD"/>
    <w:rsid w:val="005323C4"/>
    <w:rsid w:val="0053307B"/>
    <w:rsid w:val="00533905"/>
    <w:rsid w:val="00533A8D"/>
    <w:rsid w:val="00533AEA"/>
    <w:rsid w:val="00533D84"/>
    <w:rsid w:val="00533EBB"/>
    <w:rsid w:val="0053410B"/>
    <w:rsid w:val="00534B56"/>
    <w:rsid w:val="005351FF"/>
    <w:rsid w:val="00536457"/>
    <w:rsid w:val="00537175"/>
    <w:rsid w:val="00537A1B"/>
    <w:rsid w:val="00537BD8"/>
    <w:rsid w:val="00537F80"/>
    <w:rsid w:val="00540619"/>
    <w:rsid w:val="00540C63"/>
    <w:rsid w:val="005410D8"/>
    <w:rsid w:val="0054197D"/>
    <w:rsid w:val="00541E67"/>
    <w:rsid w:val="00541F60"/>
    <w:rsid w:val="00542279"/>
    <w:rsid w:val="0054227D"/>
    <w:rsid w:val="00542330"/>
    <w:rsid w:val="0054233B"/>
    <w:rsid w:val="0054294B"/>
    <w:rsid w:val="005429CD"/>
    <w:rsid w:val="00543068"/>
    <w:rsid w:val="005431D4"/>
    <w:rsid w:val="00543500"/>
    <w:rsid w:val="0054380E"/>
    <w:rsid w:val="00543851"/>
    <w:rsid w:val="00543A4C"/>
    <w:rsid w:val="00543DBA"/>
    <w:rsid w:val="00544763"/>
    <w:rsid w:val="0054492B"/>
    <w:rsid w:val="00544CDA"/>
    <w:rsid w:val="005456FD"/>
    <w:rsid w:val="00545CA4"/>
    <w:rsid w:val="00545D7A"/>
    <w:rsid w:val="0054624B"/>
    <w:rsid w:val="0054663B"/>
    <w:rsid w:val="00546DD9"/>
    <w:rsid w:val="00546DF1"/>
    <w:rsid w:val="0054719E"/>
    <w:rsid w:val="0054736C"/>
    <w:rsid w:val="00547901"/>
    <w:rsid w:val="00550FB0"/>
    <w:rsid w:val="00551C50"/>
    <w:rsid w:val="005526C3"/>
    <w:rsid w:val="00552873"/>
    <w:rsid w:val="005528CE"/>
    <w:rsid w:val="00552B68"/>
    <w:rsid w:val="00552F49"/>
    <w:rsid w:val="005532B9"/>
    <w:rsid w:val="0055332C"/>
    <w:rsid w:val="0055355B"/>
    <w:rsid w:val="00553792"/>
    <w:rsid w:val="0055384B"/>
    <w:rsid w:val="00553951"/>
    <w:rsid w:val="005540B2"/>
    <w:rsid w:val="00555854"/>
    <w:rsid w:val="00555C37"/>
    <w:rsid w:val="00555E53"/>
    <w:rsid w:val="00556406"/>
    <w:rsid w:val="00556BC6"/>
    <w:rsid w:val="00556CE5"/>
    <w:rsid w:val="00556D77"/>
    <w:rsid w:val="00556DF2"/>
    <w:rsid w:val="00556E79"/>
    <w:rsid w:val="00557129"/>
    <w:rsid w:val="00557BA4"/>
    <w:rsid w:val="00557D73"/>
    <w:rsid w:val="005600DD"/>
    <w:rsid w:val="005604A3"/>
    <w:rsid w:val="005606BD"/>
    <w:rsid w:val="00561C87"/>
    <w:rsid w:val="00561EFE"/>
    <w:rsid w:val="00561FAE"/>
    <w:rsid w:val="00562113"/>
    <w:rsid w:val="005624B4"/>
    <w:rsid w:val="0056295E"/>
    <w:rsid w:val="00563C3A"/>
    <w:rsid w:val="00563E06"/>
    <w:rsid w:val="00564DC0"/>
    <w:rsid w:val="0056578A"/>
    <w:rsid w:val="0056611F"/>
    <w:rsid w:val="00566EFF"/>
    <w:rsid w:val="00567304"/>
    <w:rsid w:val="0056733F"/>
    <w:rsid w:val="00567592"/>
    <w:rsid w:val="005676BA"/>
    <w:rsid w:val="0056770D"/>
    <w:rsid w:val="00567BC6"/>
    <w:rsid w:val="00567CBD"/>
    <w:rsid w:val="00567E2B"/>
    <w:rsid w:val="00567FCC"/>
    <w:rsid w:val="0057000D"/>
    <w:rsid w:val="0057016B"/>
    <w:rsid w:val="005704E2"/>
    <w:rsid w:val="005708F9"/>
    <w:rsid w:val="005708FA"/>
    <w:rsid w:val="0057143F"/>
    <w:rsid w:val="00571A17"/>
    <w:rsid w:val="00572253"/>
    <w:rsid w:val="00572287"/>
    <w:rsid w:val="00572307"/>
    <w:rsid w:val="0057277B"/>
    <w:rsid w:val="005733E0"/>
    <w:rsid w:val="00573543"/>
    <w:rsid w:val="00573684"/>
    <w:rsid w:val="005736D1"/>
    <w:rsid w:val="00573B33"/>
    <w:rsid w:val="00574A51"/>
    <w:rsid w:val="005757B7"/>
    <w:rsid w:val="00575B11"/>
    <w:rsid w:val="00575C23"/>
    <w:rsid w:val="00575C8A"/>
    <w:rsid w:val="00575D63"/>
    <w:rsid w:val="0057616A"/>
    <w:rsid w:val="005765AB"/>
    <w:rsid w:val="0057686B"/>
    <w:rsid w:val="00576BAE"/>
    <w:rsid w:val="00576FC9"/>
    <w:rsid w:val="0057706D"/>
    <w:rsid w:val="005770F0"/>
    <w:rsid w:val="005774A3"/>
    <w:rsid w:val="005774B1"/>
    <w:rsid w:val="005774DF"/>
    <w:rsid w:val="00577706"/>
    <w:rsid w:val="00577FD6"/>
    <w:rsid w:val="00580210"/>
    <w:rsid w:val="005803AE"/>
    <w:rsid w:val="005803C9"/>
    <w:rsid w:val="00580691"/>
    <w:rsid w:val="005809AB"/>
    <w:rsid w:val="00580F71"/>
    <w:rsid w:val="0058117F"/>
    <w:rsid w:val="00581273"/>
    <w:rsid w:val="00581632"/>
    <w:rsid w:val="005825C2"/>
    <w:rsid w:val="005837FB"/>
    <w:rsid w:val="00583FA8"/>
    <w:rsid w:val="0058449C"/>
    <w:rsid w:val="00584DA7"/>
    <w:rsid w:val="00585223"/>
    <w:rsid w:val="00585FF5"/>
    <w:rsid w:val="0058680E"/>
    <w:rsid w:val="00586849"/>
    <w:rsid w:val="00586951"/>
    <w:rsid w:val="00586AD9"/>
    <w:rsid w:val="0058730E"/>
    <w:rsid w:val="005875D1"/>
    <w:rsid w:val="005878FA"/>
    <w:rsid w:val="00587E54"/>
    <w:rsid w:val="00590404"/>
    <w:rsid w:val="005907ED"/>
    <w:rsid w:val="005909FE"/>
    <w:rsid w:val="00590A78"/>
    <w:rsid w:val="00590D3D"/>
    <w:rsid w:val="005912EB"/>
    <w:rsid w:val="00591D39"/>
    <w:rsid w:val="00592286"/>
    <w:rsid w:val="0059241E"/>
    <w:rsid w:val="005930AE"/>
    <w:rsid w:val="0059369F"/>
    <w:rsid w:val="0059402B"/>
    <w:rsid w:val="0059408C"/>
    <w:rsid w:val="0059414E"/>
    <w:rsid w:val="005943A6"/>
    <w:rsid w:val="00594645"/>
    <w:rsid w:val="005947A5"/>
    <w:rsid w:val="00594DCF"/>
    <w:rsid w:val="0059604F"/>
    <w:rsid w:val="00596342"/>
    <w:rsid w:val="00596778"/>
    <w:rsid w:val="00596932"/>
    <w:rsid w:val="00596A7C"/>
    <w:rsid w:val="00597179"/>
    <w:rsid w:val="00597519"/>
    <w:rsid w:val="005976B7"/>
    <w:rsid w:val="00597B29"/>
    <w:rsid w:val="00597E0F"/>
    <w:rsid w:val="00597EFC"/>
    <w:rsid w:val="005A034C"/>
    <w:rsid w:val="005A0674"/>
    <w:rsid w:val="005A0AC2"/>
    <w:rsid w:val="005A148E"/>
    <w:rsid w:val="005A15D1"/>
    <w:rsid w:val="005A1F10"/>
    <w:rsid w:val="005A2B01"/>
    <w:rsid w:val="005A2CAC"/>
    <w:rsid w:val="005A2DFA"/>
    <w:rsid w:val="005A30A6"/>
    <w:rsid w:val="005A3170"/>
    <w:rsid w:val="005A31B9"/>
    <w:rsid w:val="005A3ADC"/>
    <w:rsid w:val="005A3F74"/>
    <w:rsid w:val="005A5089"/>
    <w:rsid w:val="005A5837"/>
    <w:rsid w:val="005A64D3"/>
    <w:rsid w:val="005A6689"/>
    <w:rsid w:val="005A68E6"/>
    <w:rsid w:val="005A70B8"/>
    <w:rsid w:val="005A7860"/>
    <w:rsid w:val="005A797B"/>
    <w:rsid w:val="005A7CF7"/>
    <w:rsid w:val="005A7F4D"/>
    <w:rsid w:val="005B0023"/>
    <w:rsid w:val="005B0736"/>
    <w:rsid w:val="005B1136"/>
    <w:rsid w:val="005B1A41"/>
    <w:rsid w:val="005B1BFF"/>
    <w:rsid w:val="005B262B"/>
    <w:rsid w:val="005B2790"/>
    <w:rsid w:val="005B287F"/>
    <w:rsid w:val="005B31E3"/>
    <w:rsid w:val="005B3DCE"/>
    <w:rsid w:val="005B426C"/>
    <w:rsid w:val="005B495B"/>
    <w:rsid w:val="005B4A9E"/>
    <w:rsid w:val="005B4E33"/>
    <w:rsid w:val="005B4EE7"/>
    <w:rsid w:val="005B5C2D"/>
    <w:rsid w:val="005B6E96"/>
    <w:rsid w:val="005B6EA1"/>
    <w:rsid w:val="005B72E8"/>
    <w:rsid w:val="005B7B60"/>
    <w:rsid w:val="005B7D97"/>
    <w:rsid w:val="005B7FDF"/>
    <w:rsid w:val="005C0095"/>
    <w:rsid w:val="005C09BF"/>
    <w:rsid w:val="005C09CF"/>
    <w:rsid w:val="005C0BFB"/>
    <w:rsid w:val="005C138C"/>
    <w:rsid w:val="005C1574"/>
    <w:rsid w:val="005C19AD"/>
    <w:rsid w:val="005C1F86"/>
    <w:rsid w:val="005C209F"/>
    <w:rsid w:val="005C2181"/>
    <w:rsid w:val="005C23B5"/>
    <w:rsid w:val="005C2B25"/>
    <w:rsid w:val="005C2BF5"/>
    <w:rsid w:val="005C2E7A"/>
    <w:rsid w:val="005C32DE"/>
    <w:rsid w:val="005C3772"/>
    <w:rsid w:val="005C3D65"/>
    <w:rsid w:val="005C442C"/>
    <w:rsid w:val="005C47C4"/>
    <w:rsid w:val="005C4971"/>
    <w:rsid w:val="005C49ED"/>
    <w:rsid w:val="005C4A7F"/>
    <w:rsid w:val="005C56EC"/>
    <w:rsid w:val="005C5877"/>
    <w:rsid w:val="005C59CC"/>
    <w:rsid w:val="005C5B69"/>
    <w:rsid w:val="005C6865"/>
    <w:rsid w:val="005C6A76"/>
    <w:rsid w:val="005C791E"/>
    <w:rsid w:val="005C7F69"/>
    <w:rsid w:val="005D09A3"/>
    <w:rsid w:val="005D0ABF"/>
    <w:rsid w:val="005D0CEC"/>
    <w:rsid w:val="005D151A"/>
    <w:rsid w:val="005D1566"/>
    <w:rsid w:val="005D18B0"/>
    <w:rsid w:val="005D18CE"/>
    <w:rsid w:val="005D21FC"/>
    <w:rsid w:val="005D24EA"/>
    <w:rsid w:val="005D2541"/>
    <w:rsid w:val="005D2B9E"/>
    <w:rsid w:val="005D2C41"/>
    <w:rsid w:val="005D2E01"/>
    <w:rsid w:val="005D39F4"/>
    <w:rsid w:val="005D3C34"/>
    <w:rsid w:val="005D4091"/>
    <w:rsid w:val="005D4AAE"/>
    <w:rsid w:val="005D4C3D"/>
    <w:rsid w:val="005D5690"/>
    <w:rsid w:val="005D57B5"/>
    <w:rsid w:val="005D594A"/>
    <w:rsid w:val="005D644C"/>
    <w:rsid w:val="005D66F5"/>
    <w:rsid w:val="005D74DC"/>
    <w:rsid w:val="005D7566"/>
    <w:rsid w:val="005D7A03"/>
    <w:rsid w:val="005D7CEC"/>
    <w:rsid w:val="005E0040"/>
    <w:rsid w:val="005E0166"/>
    <w:rsid w:val="005E023C"/>
    <w:rsid w:val="005E068E"/>
    <w:rsid w:val="005E1366"/>
    <w:rsid w:val="005E1B8B"/>
    <w:rsid w:val="005E2427"/>
    <w:rsid w:val="005E24EC"/>
    <w:rsid w:val="005E2565"/>
    <w:rsid w:val="005E26C2"/>
    <w:rsid w:val="005E3162"/>
    <w:rsid w:val="005E3197"/>
    <w:rsid w:val="005E4299"/>
    <w:rsid w:val="005E4431"/>
    <w:rsid w:val="005E4760"/>
    <w:rsid w:val="005E4BC7"/>
    <w:rsid w:val="005E4EC0"/>
    <w:rsid w:val="005E4EFF"/>
    <w:rsid w:val="005E50EB"/>
    <w:rsid w:val="005E57E6"/>
    <w:rsid w:val="005E5E27"/>
    <w:rsid w:val="005E60D4"/>
    <w:rsid w:val="005E675A"/>
    <w:rsid w:val="005E6811"/>
    <w:rsid w:val="005E6E36"/>
    <w:rsid w:val="005E7374"/>
    <w:rsid w:val="005F002D"/>
    <w:rsid w:val="005F01DB"/>
    <w:rsid w:val="005F031F"/>
    <w:rsid w:val="005F0398"/>
    <w:rsid w:val="005F1B3B"/>
    <w:rsid w:val="005F1E03"/>
    <w:rsid w:val="005F1F1F"/>
    <w:rsid w:val="005F21A4"/>
    <w:rsid w:val="005F2971"/>
    <w:rsid w:val="005F2F34"/>
    <w:rsid w:val="005F3582"/>
    <w:rsid w:val="005F3791"/>
    <w:rsid w:val="005F3894"/>
    <w:rsid w:val="005F3C0D"/>
    <w:rsid w:val="005F442C"/>
    <w:rsid w:val="005F45D3"/>
    <w:rsid w:val="005F49AA"/>
    <w:rsid w:val="005F5CCE"/>
    <w:rsid w:val="005F60CF"/>
    <w:rsid w:val="005F6230"/>
    <w:rsid w:val="005F6F86"/>
    <w:rsid w:val="005F770A"/>
    <w:rsid w:val="005F7730"/>
    <w:rsid w:val="005F77A7"/>
    <w:rsid w:val="005F7947"/>
    <w:rsid w:val="0060023B"/>
    <w:rsid w:val="00600CFA"/>
    <w:rsid w:val="0060184D"/>
    <w:rsid w:val="006018B0"/>
    <w:rsid w:val="00601B8E"/>
    <w:rsid w:val="0060217C"/>
    <w:rsid w:val="0060270B"/>
    <w:rsid w:val="006028F7"/>
    <w:rsid w:val="00602A8C"/>
    <w:rsid w:val="00602CF0"/>
    <w:rsid w:val="00603C1A"/>
    <w:rsid w:val="00604035"/>
    <w:rsid w:val="00604377"/>
    <w:rsid w:val="0060483C"/>
    <w:rsid w:val="00604D03"/>
    <w:rsid w:val="006061C6"/>
    <w:rsid w:val="00606299"/>
    <w:rsid w:val="00606417"/>
    <w:rsid w:val="0060715E"/>
    <w:rsid w:val="006071A3"/>
    <w:rsid w:val="00607EE0"/>
    <w:rsid w:val="00607F4E"/>
    <w:rsid w:val="00607FAF"/>
    <w:rsid w:val="00610020"/>
    <w:rsid w:val="00610028"/>
    <w:rsid w:val="0061010C"/>
    <w:rsid w:val="00610F0D"/>
    <w:rsid w:val="00611413"/>
    <w:rsid w:val="00611415"/>
    <w:rsid w:val="00611693"/>
    <w:rsid w:val="006121B9"/>
    <w:rsid w:val="00612D39"/>
    <w:rsid w:val="00613854"/>
    <w:rsid w:val="00613F9A"/>
    <w:rsid w:val="00614014"/>
    <w:rsid w:val="006143DE"/>
    <w:rsid w:val="00614772"/>
    <w:rsid w:val="0061486F"/>
    <w:rsid w:val="00614944"/>
    <w:rsid w:val="00615024"/>
    <w:rsid w:val="00615193"/>
    <w:rsid w:val="0061560A"/>
    <w:rsid w:val="00615B48"/>
    <w:rsid w:val="00615BED"/>
    <w:rsid w:val="00616326"/>
    <w:rsid w:val="006163E8"/>
    <w:rsid w:val="006166A7"/>
    <w:rsid w:val="00617D11"/>
    <w:rsid w:val="00617F68"/>
    <w:rsid w:val="00617F85"/>
    <w:rsid w:val="00617FF2"/>
    <w:rsid w:val="00620DD8"/>
    <w:rsid w:val="00621385"/>
    <w:rsid w:val="00621427"/>
    <w:rsid w:val="0062154B"/>
    <w:rsid w:val="00621976"/>
    <w:rsid w:val="00622356"/>
    <w:rsid w:val="00622907"/>
    <w:rsid w:val="00622B2F"/>
    <w:rsid w:val="00622DFC"/>
    <w:rsid w:val="00623029"/>
    <w:rsid w:val="006233A8"/>
    <w:rsid w:val="006235A3"/>
    <w:rsid w:val="00623611"/>
    <w:rsid w:val="006241AC"/>
    <w:rsid w:val="006261A4"/>
    <w:rsid w:val="00626357"/>
    <w:rsid w:val="006263A7"/>
    <w:rsid w:val="006268DC"/>
    <w:rsid w:val="00626B08"/>
    <w:rsid w:val="00626CB2"/>
    <w:rsid w:val="00627919"/>
    <w:rsid w:val="00627D9A"/>
    <w:rsid w:val="00627DE3"/>
    <w:rsid w:val="006300A0"/>
    <w:rsid w:val="00630140"/>
    <w:rsid w:val="006302E4"/>
    <w:rsid w:val="00630DEF"/>
    <w:rsid w:val="00632133"/>
    <w:rsid w:val="006321DA"/>
    <w:rsid w:val="0063259C"/>
    <w:rsid w:val="00632685"/>
    <w:rsid w:val="00632CE7"/>
    <w:rsid w:val="0063347A"/>
    <w:rsid w:val="00633601"/>
    <w:rsid w:val="0063407B"/>
    <w:rsid w:val="00634262"/>
    <w:rsid w:val="00634272"/>
    <w:rsid w:val="0063436D"/>
    <w:rsid w:val="00634523"/>
    <w:rsid w:val="0063584C"/>
    <w:rsid w:val="00636CD7"/>
    <w:rsid w:val="006375F4"/>
    <w:rsid w:val="00637839"/>
    <w:rsid w:val="00637AF1"/>
    <w:rsid w:val="00637B41"/>
    <w:rsid w:val="00637BE0"/>
    <w:rsid w:val="00637F82"/>
    <w:rsid w:val="00637FF8"/>
    <w:rsid w:val="00640575"/>
    <w:rsid w:val="00640F94"/>
    <w:rsid w:val="006410EF"/>
    <w:rsid w:val="00642279"/>
    <w:rsid w:val="006425CF"/>
    <w:rsid w:val="00642933"/>
    <w:rsid w:val="00642A25"/>
    <w:rsid w:val="00642ED2"/>
    <w:rsid w:val="00643213"/>
    <w:rsid w:val="006433E9"/>
    <w:rsid w:val="00643B61"/>
    <w:rsid w:val="00643FF4"/>
    <w:rsid w:val="00644485"/>
    <w:rsid w:val="00644566"/>
    <w:rsid w:val="006449A9"/>
    <w:rsid w:val="00644D0A"/>
    <w:rsid w:val="00645122"/>
    <w:rsid w:val="0064549E"/>
    <w:rsid w:val="00645B46"/>
    <w:rsid w:val="00646D26"/>
    <w:rsid w:val="00646D4F"/>
    <w:rsid w:val="00646F27"/>
    <w:rsid w:val="00646FE3"/>
    <w:rsid w:val="0064712F"/>
    <w:rsid w:val="0064738D"/>
    <w:rsid w:val="006475F5"/>
    <w:rsid w:val="0064786C"/>
    <w:rsid w:val="00647902"/>
    <w:rsid w:val="006479B9"/>
    <w:rsid w:val="00650549"/>
    <w:rsid w:val="00650600"/>
    <w:rsid w:val="00650C40"/>
    <w:rsid w:val="00651B24"/>
    <w:rsid w:val="00651B8D"/>
    <w:rsid w:val="0065268A"/>
    <w:rsid w:val="00652A87"/>
    <w:rsid w:val="00652B4C"/>
    <w:rsid w:val="00652DB2"/>
    <w:rsid w:val="006530C9"/>
    <w:rsid w:val="0065342C"/>
    <w:rsid w:val="00653641"/>
    <w:rsid w:val="00653C3F"/>
    <w:rsid w:val="00653FF4"/>
    <w:rsid w:val="006540A3"/>
    <w:rsid w:val="00654B37"/>
    <w:rsid w:val="00654EB0"/>
    <w:rsid w:val="00655193"/>
    <w:rsid w:val="006551BA"/>
    <w:rsid w:val="00655234"/>
    <w:rsid w:val="006555A1"/>
    <w:rsid w:val="0065587C"/>
    <w:rsid w:val="00655CC4"/>
    <w:rsid w:val="00655E27"/>
    <w:rsid w:val="00655E7B"/>
    <w:rsid w:val="006564B3"/>
    <w:rsid w:val="00656697"/>
    <w:rsid w:val="00656753"/>
    <w:rsid w:val="00657132"/>
    <w:rsid w:val="006571FF"/>
    <w:rsid w:val="0065744E"/>
    <w:rsid w:val="00657638"/>
    <w:rsid w:val="0065784C"/>
    <w:rsid w:val="00660B06"/>
    <w:rsid w:val="00660C69"/>
    <w:rsid w:val="006611C0"/>
    <w:rsid w:val="006617E7"/>
    <w:rsid w:val="00661918"/>
    <w:rsid w:val="006622A3"/>
    <w:rsid w:val="00663FA9"/>
    <w:rsid w:val="0066495D"/>
    <w:rsid w:val="00665155"/>
    <w:rsid w:val="006652C3"/>
    <w:rsid w:val="00665B4E"/>
    <w:rsid w:val="00665C0D"/>
    <w:rsid w:val="00665FFA"/>
    <w:rsid w:val="00666BA2"/>
    <w:rsid w:val="0066724E"/>
    <w:rsid w:val="00667583"/>
    <w:rsid w:val="006702DB"/>
    <w:rsid w:val="006703E1"/>
    <w:rsid w:val="0067180A"/>
    <w:rsid w:val="00671841"/>
    <w:rsid w:val="006718D8"/>
    <w:rsid w:val="00671D62"/>
    <w:rsid w:val="006720B0"/>
    <w:rsid w:val="00672A30"/>
    <w:rsid w:val="00672E74"/>
    <w:rsid w:val="00673158"/>
    <w:rsid w:val="00673235"/>
    <w:rsid w:val="006749FE"/>
    <w:rsid w:val="00674A36"/>
    <w:rsid w:val="00674A96"/>
    <w:rsid w:val="00674AD9"/>
    <w:rsid w:val="00674B95"/>
    <w:rsid w:val="00674D99"/>
    <w:rsid w:val="00674E33"/>
    <w:rsid w:val="006751F3"/>
    <w:rsid w:val="00675386"/>
    <w:rsid w:val="006753CE"/>
    <w:rsid w:val="006754E6"/>
    <w:rsid w:val="006757A4"/>
    <w:rsid w:val="006757F2"/>
    <w:rsid w:val="0067613F"/>
    <w:rsid w:val="006763CE"/>
    <w:rsid w:val="006763F6"/>
    <w:rsid w:val="00676A7F"/>
    <w:rsid w:val="00677742"/>
    <w:rsid w:val="00677C41"/>
    <w:rsid w:val="0068056F"/>
    <w:rsid w:val="0068081C"/>
    <w:rsid w:val="00680B0B"/>
    <w:rsid w:val="00681AFE"/>
    <w:rsid w:val="00681D93"/>
    <w:rsid w:val="006820B3"/>
    <w:rsid w:val="00682D49"/>
    <w:rsid w:val="0068313F"/>
    <w:rsid w:val="00683881"/>
    <w:rsid w:val="00683BE4"/>
    <w:rsid w:val="00684949"/>
    <w:rsid w:val="00684B50"/>
    <w:rsid w:val="00684FF2"/>
    <w:rsid w:val="00685067"/>
    <w:rsid w:val="00685336"/>
    <w:rsid w:val="00685640"/>
    <w:rsid w:val="00685963"/>
    <w:rsid w:val="00686362"/>
    <w:rsid w:val="006863AE"/>
    <w:rsid w:val="006868F3"/>
    <w:rsid w:val="00686942"/>
    <w:rsid w:val="00686B30"/>
    <w:rsid w:val="00686C59"/>
    <w:rsid w:val="00687568"/>
    <w:rsid w:val="00687B82"/>
    <w:rsid w:val="00687FFC"/>
    <w:rsid w:val="00690122"/>
    <w:rsid w:val="0069034E"/>
    <w:rsid w:val="006903B0"/>
    <w:rsid w:val="006904CF"/>
    <w:rsid w:val="00690720"/>
    <w:rsid w:val="00691321"/>
    <w:rsid w:val="006914C1"/>
    <w:rsid w:val="00691540"/>
    <w:rsid w:val="006916E4"/>
    <w:rsid w:val="00692066"/>
    <w:rsid w:val="0069236D"/>
    <w:rsid w:val="006923A3"/>
    <w:rsid w:val="0069269D"/>
    <w:rsid w:val="006927AC"/>
    <w:rsid w:val="006932B3"/>
    <w:rsid w:val="00693368"/>
    <w:rsid w:val="00693C5B"/>
    <w:rsid w:val="00693CEB"/>
    <w:rsid w:val="00693EEA"/>
    <w:rsid w:val="00694145"/>
    <w:rsid w:val="00694275"/>
    <w:rsid w:val="00694D02"/>
    <w:rsid w:val="006956F5"/>
    <w:rsid w:val="00695ADE"/>
    <w:rsid w:val="00695AFC"/>
    <w:rsid w:val="00695CCF"/>
    <w:rsid w:val="00695D8E"/>
    <w:rsid w:val="006961E7"/>
    <w:rsid w:val="00696CEA"/>
    <w:rsid w:val="00696DB4"/>
    <w:rsid w:val="006970F8"/>
    <w:rsid w:val="00697271"/>
    <w:rsid w:val="00697448"/>
    <w:rsid w:val="006974B4"/>
    <w:rsid w:val="006976B0"/>
    <w:rsid w:val="00697CF2"/>
    <w:rsid w:val="00697D2A"/>
    <w:rsid w:val="00697D93"/>
    <w:rsid w:val="006A0436"/>
    <w:rsid w:val="006A0685"/>
    <w:rsid w:val="006A0C3A"/>
    <w:rsid w:val="006A16B4"/>
    <w:rsid w:val="006A1D79"/>
    <w:rsid w:val="006A1ED9"/>
    <w:rsid w:val="006A20FE"/>
    <w:rsid w:val="006A2AF7"/>
    <w:rsid w:val="006A2C88"/>
    <w:rsid w:val="006A2DAE"/>
    <w:rsid w:val="006A2E80"/>
    <w:rsid w:val="006A3622"/>
    <w:rsid w:val="006A45C6"/>
    <w:rsid w:val="006A4D04"/>
    <w:rsid w:val="006A4EC3"/>
    <w:rsid w:val="006A5074"/>
    <w:rsid w:val="006A53E2"/>
    <w:rsid w:val="006A547D"/>
    <w:rsid w:val="006A60B9"/>
    <w:rsid w:val="006A6175"/>
    <w:rsid w:val="006A6AFF"/>
    <w:rsid w:val="006A714C"/>
    <w:rsid w:val="006A7CC8"/>
    <w:rsid w:val="006A7EC6"/>
    <w:rsid w:val="006B0301"/>
    <w:rsid w:val="006B0544"/>
    <w:rsid w:val="006B0557"/>
    <w:rsid w:val="006B0BD8"/>
    <w:rsid w:val="006B0C37"/>
    <w:rsid w:val="006B0FC5"/>
    <w:rsid w:val="006B1C59"/>
    <w:rsid w:val="006B20E7"/>
    <w:rsid w:val="006B2221"/>
    <w:rsid w:val="006B2EC4"/>
    <w:rsid w:val="006B31C6"/>
    <w:rsid w:val="006B3322"/>
    <w:rsid w:val="006B3630"/>
    <w:rsid w:val="006B3782"/>
    <w:rsid w:val="006B3852"/>
    <w:rsid w:val="006B38C5"/>
    <w:rsid w:val="006B3CA7"/>
    <w:rsid w:val="006B48C9"/>
    <w:rsid w:val="006B4B9E"/>
    <w:rsid w:val="006B4E9C"/>
    <w:rsid w:val="006B5FAA"/>
    <w:rsid w:val="006B66D2"/>
    <w:rsid w:val="006B75F9"/>
    <w:rsid w:val="006B7A4E"/>
    <w:rsid w:val="006C0594"/>
    <w:rsid w:val="006C0B34"/>
    <w:rsid w:val="006C0B3B"/>
    <w:rsid w:val="006C0C8F"/>
    <w:rsid w:val="006C0DB3"/>
    <w:rsid w:val="006C1ACD"/>
    <w:rsid w:val="006C1F4B"/>
    <w:rsid w:val="006C2493"/>
    <w:rsid w:val="006C2682"/>
    <w:rsid w:val="006C2D3A"/>
    <w:rsid w:val="006C3393"/>
    <w:rsid w:val="006C3E4F"/>
    <w:rsid w:val="006C47A4"/>
    <w:rsid w:val="006C483D"/>
    <w:rsid w:val="006C5288"/>
    <w:rsid w:val="006C5589"/>
    <w:rsid w:val="006C6131"/>
    <w:rsid w:val="006C6408"/>
    <w:rsid w:val="006C64CB"/>
    <w:rsid w:val="006C65DC"/>
    <w:rsid w:val="006C664C"/>
    <w:rsid w:val="006C732C"/>
    <w:rsid w:val="006C7348"/>
    <w:rsid w:val="006C75B6"/>
    <w:rsid w:val="006C763F"/>
    <w:rsid w:val="006C7994"/>
    <w:rsid w:val="006C7B13"/>
    <w:rsid w:val="006C7BB3"/>
    <w:rsid w:val="006D09F5"/>
    <w:rsid w:val="006D1504"/>
    <w:rsid w:val="006D1593"/>
    <w:rsid w:val="006D1E06"/>
    <w:rsid w:val="006D2330"/>
    <w:rsid w:val="006D24BD"/>
    <w:rsid w:val="006D295D"/>
    <w:rsid w:val="006D35A9"/>
    <w:rsid w:val="006D3B4A"/>
    <w:rsid w:val="006D3DD1"/>
    <w:rsid w:val="006D3E8F"/>
    <w:rsid w:val="006D408E"/>
    <w:rsid w:val="006D5046"/>
    <w:rsid w:val="006D59DC"/>
    <w:rsid w:val="006D687A"/>
    <w:rsid w:val="006D6AA4"/>
    <w:rsid w:val="006D6AD2"/>
    <w:rsid w:val="006D70D7"/>
    <w:rsid w:val="006D7433"/>
    <w:rsid w:val="006D7D06"/>
    <w:rsid w:val="006E004B"/>
    <w:rsid w:val="006E0381"/>
    <w:rsid w:val="006E0D90"/>
    <w:rsid w:val="006E117D"/>
    <w:rsid w:val="006E1357"/>
    <w:rsid w:val="006E1A88"/>
    <w:rsid w:val="006E1C71"/>
    <w:rsid w:val="006E238A"/>
    <w:rsid w:val="006E2653"/>
    <w:rsid w:val="006E2F4E"/>
    <w:rsid w:val="006E32B6"/>
    <w:rsid w:val="006E3E8A"/>
    <w:rsid w:val="006E3EDD"/>
    <w:rsid w:val="006E464E"/>
    <w:rsid w:val="006E479C"/>
    <w:rsid w:val="006E4AE8"/>
    <w:rsid w:val="006E5024"/>
    <w:rsid w:val="006E5684"/>
    <w:rsid w:val="006E579D"/>
    <w:rsid w:val="006E7417"/>
    <w:rsid w:val="006E7A7C"/>
    <w:rsid w:val="006F05B2"/>
    <w:rsid w:val="006F0971"/>
    <w:rsid w:val="006F0F1E"/>
    <w:rsid w:val="006F0F95"/>
    <w:rsid w:val="006F1065"/>
    <w:rsid w:val="006F1352"/>
    <w:rsid w:val="006F1EA1"/>
    <w:rsid w:val="006F20AA"/>
    <w:rsid w:val="006F22DF"/>
    <w:rsid w:val="006F233C"/>
    <w:rsid w:val="006F2466"/>
    <w:rsid w:val="006F28CF"/>
    <w:rsid w:val="006F2B76"/>
    <w:rsid w:val="006F33FF"/>
    <w:rsid w:val="006F353D"/>
    <w:rsid w:val="006F3CD2"/>
    <w:rsid w:val="006F454A"/>
    <w:rsid w:val="006F4773"/>
    <w:rsid w:val="006F4D07"/>
    <w:rsid w:val="006F4DF9"/>
    <w:rsid w:val="006F4F08"/>
    <w:rsid w:val="006F56D1"/>
    <w:rsid w:val="006F5EB8"/>
    <w:rsid w:val="006F6673"/>
    <w:rsid w:val="006F698B"/>
    <w:rsid w:val="006F6A92"/>
    <w:rsid w:val="006F7100"/>
    <w:rsid w:val="006F719B"/>
    <w:rsid w:val="006F785B"/>
    <w:rsid w:val="006F7E0E"/>
    <w:rsid w:val="007003D3"/>
    <w:rsid w:val="00700A2E"/>
    <w:rsid w:val="00700B8C"/>
    <w:rsid w:val="007012D6"/>
    <w:rsid w:val="00701587"/>
    <w:rsid w:val="0070180B"/>
    <w:rsid w:val="00702352"/>
    <w:rsid w:val="00702433"/>
    <w:rsid w:val="00702A86"/>
    <w:rsid w:val="00703FFE"/>
    <w:rsid w:val="0070455A"/>
    <w:rsid w:val="00704591"/>
    <w:rsid w:val="007045BD"/>
    <w:rsid w:val="00704777"/>
    <w:rsid w:val="007048FE"/>
    <w:rsid w:val="0070495F"/>
    <w:rsid w:val="00704A24"/>
    <w:rsid w:val="007052EA"/>
    <w:rsid w:val="0070561B"/>
    <w:rsid w:val="007056A2"/>
    <w:rsid w:val="00705AF5"/>
    <w:rsid w:val="00705C40"/>
    <w:rsid w:val="007066CA"/>
    <w:rsid w:val="00706833"/>
    <w:rsid w:val="00706862"/>
    <w:rsid w:val="00707678"/>
    <w:rsid w:val="00707891"/>
    <w:rsid w:val="00707F3D"/>
    <w:rsid w:val="00710575"/>
    <w:rsid w:val="00710C2E"/>
    <w:rsid w:val="00710CDF"/>
    <w:rsid w:val="0071160D"/>
    <w:rsid w:val="00712DAB"/>
    <w:rsid w:val="007137BA"/>
    <w:rsid w:val="00713F84"/>
    <w:rsid w:val="00714355"/>
    <w:rsid w:val="007146DA"/>
    <w:rsid w:val="0071486C"/>
    <w:rsid w:val="00714896"/>
    <w:rsid w:val="00714D5F"/>
    <w:rsid w:val="00715498"/>
    <w:rsid w:val="00715CDF"/>
    <w:rsid w:val="00715F6A"/>
    <w:rsid w:val="007163BA"/>
    <w:rsid w:val="00716754"/>
    <w:rsid w:val="00716C1A"/>
    <w:rsid w:val="00716FF8"/>
    <w:rsid w:val="00717541"/>
    <w:rsid w:val="00717805"/>
    <w:rsid w:val="00717E19"/>
    <w:rsid w:val="00720176"/>
    <w:rsid w:val="007203A4"/>
    <w:rsid w:val="0072068B"/>
    <w:rsid w:val="00720755"/>
    <w:rsid w:val="00720FF4"/>
    <w:rsid w:val="007212E1"/>
    <w:rsid w:val="0072149C"/>
    <w:rsid w:val="0072186E"/>
    <w:rsid w:val="00723015"/>
    <w:rsid w:val="007231A5"/>
    <w:rsid w:val="007233E1"/>
    <w:rsid w:val="007236FD"/>
    <w:rsid w:val="007239CD"/>
    <w:rsid w:val="00723A3C"/>
    <w:rsid w:val="00723E42"/>
    <w:rsid w:val="0072422B"/>
    <w:rsid w:val="00724365"/>
    <w:rsid w:val="00724CE2"/>
    <w:rsid w:val="00724CFE"/>
    <w:rsid w:val="00724E38"/>
    <w:rsid w:val="007250DB"/>
    <w:rsid w:val="0072562C"/>
    <w:rsid w:val="00725660"/>
    <w:rsid w:val="00726394"/>
    <w:rsid w:val="00726E78"/>
    <w:rsid w:val="00727178"/>
    <w:rsid w:val="00730618"/>
    <w:rsid w:val="00730892"/>
    <w:rsid w:val="00730C41"/>
    <w:rsid w:val="00730E55"/>
    <w:rsid w:val="00731011"/>
    <w:rsid w:val="007320C8"/>
    <w:rsid w:val="00732393"/>
    <w:rsid w:val="007325CC"/>
    <w:rsid w:val="007327B0"/>
    <w:rsid w:val="007327C5"/>
    <w:rsid w:val="0073283F"/>
    <w:rsid w:val="00732CFD"/>
    <w:rsid w:val="00732D42"/>
    <w:rsid w:val="00732DA8"/>
    <w:rsid w:val="007331EA"/>
    <w:rsid w:val="0073358D"/>
    <w:rsid w:val="00733671"/>
    <w:rsid w:val="007338DC"/>
    <w:rsid w:val="00733CFB"/>
    <w:rsid w:val="00734807"/>
    <w:rsid w:val="00734F03"/>
    <w:rsid w:val="00735168"/>
    <w:rsid w:val="00735201"/>
    <w:rsid w:val="00735B49"/>
    <w:rsid w:val="00735F4F"/>
    <w:rsid w:val="00735F71"/>
    <w:rsid w:val="00736125"/>
    <w:rsid w:val="00736271"/>
    <w:rsid w:val="00736392"/>
    <w:rsid w:val="007374A0"/>
    <w:rsid w:val="00737A32"/>
    <w:rsid w:val="00737C88"/>
    <w:rsid w:val="00737DE8"/>
    <w:rsid w:val="007407A8"/>
    <w:rsid w:val="00740909"/>
    <w:rsid w:val="00740910"/>
    <w:rsid w:val="007409C8"/>
    <w:rsid w:val="007410ED"/>
    <w:rsid w:val="007426B1"/>
    <w:rsid w:val="00742A7A"/>
    <w:rsid w:val="00742D24"/>
    <w:rsid w:val="00742FFD"/>
    <w:rsid w:val="007439F0"/>
    <w:rsid w:val="00743A0F"/>
    <w:rsid w:val="00743E2B"/>
    <w:rsid w:val="00743EEF"/>
    <w:rsid w:val="00743F77"/>
    <w:rsid w:val="00744274"/>
    <w:rsid w:val="007444AC"/>
    <w:rsid w:val="007445C7"/>
    <w:rsid w:val="007446AD"/>
    <w:rsid w:val="0074484C"/>
    <w:rsid w:val="00744F56"/>
    <w:rsid w:val="00745265"/>
    <w:rsid w:val="00745626"/>
    <w:rsid w:val="00745E18"/>
    <w:rsid w:val="007460A8"/>
    <w:rsid w:val="007460BC"/>
    <w:rsid w:val="0074630F"/>
    <w:rsid w:val="007466F3"/>
    <w:rsid w:val="00746D6B"/>
    <w:rsid w:val="00747091"/>
    <w:rsid w:val="0074726E"/>
    <w:rsid w:val="00747281"/>
    <w:rsid w:val="007478FE"/>
    <w:rsid w:val="00747B8E"/>
    <w:rsid w:val="00747B92"/>
    <w:rsid w:val="00747E3E"/>
    <w:rsid w:val="00747FB6"/>
    <w:rsid w:val="007502AC"/>
    <w:rsid w:val="0075038B"/>
    <w:rsid w:val="00750C12"/>
    <w:rsid w:val="00751041"/>
    <w:rsid w:val="007514F1"/>
    <w:rsid w:val="0075196C"/>
    <w:rsid w:val="00751A1E"/>
    <w:rsid w:val="00752615"/>
    <w:rsid w:val="007531DF"/>
    <w:rsid w:val="0075341A"/>
    <w:rsid w:val="0075355F"/>
    <w:rsid w:val="00753A79"/>
    <w:rsid w:val="00753E0B"/>
    <w:rsid w:val="0075421C"/>
    <w:rsid w:val="007544D6"/>
    <w:rsid w:val="007545A2"/>
    <w:rsid w:val="00754BD9"/>
    <w:rsid w:val="0075510D"/>
    <w:rsid w:val="007555B0"/>
    <w:rsid w:val="0075586D"/>
    <w:rsid w:val="00755A21"/>
    <w:rsid w:val="007606CB"/>
    <w:rsid w:val="0076086A"/>
    <w:rsid w:val="0076094A"/>
    <w:rsid w:val="00760CEF"/>
    <w:rsid w:val="007611F4"/>
    <w:rsid w:val="0076129F"/>
    <w:rsid w:val="00761951"/>
    <w:rsid w:val="00761C43"/>
    <w:rsid w:val="00761DA2"/>
    <w:rsid w:val="00761DFB"/>
    <w:rsid w:val="007620A1"/>
    <w:rsid w:val="00762150"/>
    <w:rsid w:val="007626E5"/>
    <w:rsid w:val="00762B9C"/>
    <w:rsid w:val="00762BE2"/>
    <w:rsid w:val="00762BF7"/>
    <w:rsid w:val="0076306F"/>
    <w:rsid w:val="0076353E"/>
    <w:rsid w:val="00763840"/>
    <w:rsid w:val="00763EA3"/>
    <w:rsid w:val="007646EA"/>
    <w:rsid w:val="00764BEC"/>
    <w:rsid w:val="00765415"/>
    <w:rsid w:val="00765F3B"/>
    <w:rsid w:val="007667F2"/>
    <w:rsid w:val="007669B7"/>
    <w:rsid w:val="007672B8"/>
    <w:rsid w:val="00767647"/>
    <w:rsid w:val="007676CF"/>
    <w:rsid w:val="00767CCE"/>
    <w:rsid w:val="00770B51"/>
    <w:rsid w:val="00771361"/>
    <w:rsid w:val="007713FC"/>
    <w:rsid w:val="0077147E"/>
    <w:rsid w:val="00771A2D"/>
    <w:rsid w:val="00772B3E"/>
    <w:rsid w:val="00772EFE"/>
    <w:rsid w:val="00773C04"/>
    <w:rsid w:val="00773F10"/>
    <w:rsid w:val="0077446D"/>
    <w:rsid w:val="00774798"/>
    <w:rsid w:val="00774A85"/>
    <w:rsid w:val="0077500A"/>
    <w:rsid w:val="007750D8"/>
    <w:rsid w:val="00775464"/>
    <w:rsid w:val="0077577F"/>
    <w:rsid w:val="007757DF"/>
    <w:rsid w:val="00775883"/>
    <w:rsid w:val="00776280"/>
    <w:rsid w:val="00776531"/>
    <w:rsid w:val="00776701"/>
    <w:rsid w:val="00776794"/>
    <w:rsid w:val="00776BD7"/>
    <w:rsid w:val="00777211"/>
    <w:rsid w:val="00777A3A"/>
    <w:rsid w:val="00780395"/>
    <w:rsid w:val="00780787"/>
    <w:rsid w:val="007814B9"/>
    <w:rsid w:val="00781565"/>
    <w:rsid w:val="0078199B"/>
    <w:rsid w:val="00781D24"/>
    <w:rsid w:val="0078202D"/>
    <w:rsid w:val="007826BF"/>
    <w:rsid w:val="00782F39"/>
    <w:rsid w:val="00783700"/>
    <w:rsid w:val="00783860"/>
    <w:rsid w:val="0078391B"/>
    <w:rsid w:val="00783BBD"/>
    <w:rsid w:val="007844F2"/>
    <w:rsid w:val="0078484F"/>
    <w:rsid w:val="00784B12"/>
    <w:rsid w:val="00784C26"/>
    <w:rsid w:val="00784E14"/>
    <w:rsid w:val="007866C9"/>
    <w:rsid w:val="00786ACD"/>
    <w:rsid w:val="00787997"/>
    <w:rsid w:val="00787DAA"/>
    <w:rsid w:val="00787E52"/>
    <w:rsid w:val="0079001A"/>
    <w:rsid w:val="00790079"/>
    <w:rsid w:val="00790350"/>
    <w:rsid w:val="0079054D"/>
    <w:rsid w:val="00790CE6"/>
    <w:rsid w:val="007910C6"/>
    <w:rsid w:val="0079136A"/>
    <w:rsid w:val="007914D7"/>
    <w:rsid w:val="00791AE6"/>
    <w:rsid w:val="00791CBD"/>
    <w:rsid w:val="0079392F"/>
    <w:rsid w:val="007940B5"/>
    <w:rsid w:val="0079420E"/>
    <w:rsid w:val="00794356"/>
    <w:rsid w:val="00794476"/>
    <w:rsid w:val="0079474C"/>
    <w:rsid w:val="00794A29"/>
    <w:rsid w:val="00794B58"/>
    <w:rsid w:val="00795576"/>
    <w:rsid w:val="007965F9"/>
    <w:rsid w:val="00796F2B"/>
    <w:rsid w:val="00797C1F"/>
    <w:rsid w:val="00797DF9"/>
    <w:rsid w:val="00797EF5"/>
    <w:rsid w:val="007A0032"/>
    <w:rsid w:val="007A003E"/>
    <w:rsid w:val="007A04FB"/>
    <w:rsid w:val="007A0932"/>
    <w:rsid w:val="007A0B8B"/>
    <w:rsid w:val="007A148A"/>
    <w:rsid w:val="007A1A1E"/>
    <w:rsid w:val="007A1B31"/>
    <w:rsid w:val="007A1F6F"/>
    <w:rsid w:val="007A319E"/>
    <w:rsid w:val="007A32E1"/>
    <w:rsid w:val="007A3BF2"/>
    <w:rsid w:val="007A3E0A"/>
    <w:rsid w:val="007A43B7"/>
    <w:rsid w:val="007A4687"/>
    <w:rsid w:val="007A4EB1"/>
    <w:rsid w:val="007A59D1"/>
    <w:rsid w:val="007A5F39"/>
    <w:rsid w:val="007A65FC"/>
    <w:rsid w:val="007A693A"/>
    <w:rsid w:val="007A6E9A"/>
    <w:rsid w:val="007A71BB"/>
    <w:rsid w:val="007A74D7"/>
    <w:rsid w:val="007A7A96"/>
    <w:rsid w:val="007B031F"/>
    <w:rsid w:val="007B05DA"/>
    <w:rsid w:val="007B1303"/>
    <w:rsid w:val="007B181C"/>
    <w:rsid w:val="007B18EA"/>
    <w:rsid w:val="007B2056"/>
    <w:rsid w:val="007B20A5"/>
    <w:rsid w:val="007B2544"/>
    <w:rsid w:val="007B2F1E"/>
    <w:rsid w:val="007B3440"/>
    <w:rsid w:val="007B3635"/>
    <w:rsid w:val="007B3668"/>
    <w:rsid w:val="007B3E70"/>
    <w:rsid w:val="007B4315"/>
    <w:rsid w:val="007B475C"/>
    <w:rsid w:val="007B4A91"/>
    <w:rsid w:val="007B4F10"/>
    <w:rsid w:val="007B4FE8"/>
    <w:rsid w:val="007B52A2"/>
    <w:rsid w:val="007B56BF"/>
    <w:rsid w:val="007B5ADE"/>
    <w:rsid w:val="007B5DB1"/>
    <w:rsid w:val="007B5FEC"/>
    <w:rsid w:val="007B5FFB"/>
    <w:rsid w:val="007B622D"/>
    <w:rsid w:val="007B6834"/>
    <w:rsid w:val="007B6E88"/>
    <w:rsid w:val="007B6F8F"/>
    <w:rsid w:val="007B779F"/>
    <w:rsid w:val="007B79B1"/>
    <w:rsid w:val="007B7A76"/>
    <w:rsid w:val="007B7F48"/>
    <w:rsid w:val="007C034F"/>
    <w:rsid w:val="007C087A"/>
    <w:rsid w:val="007C0926"/>
    <w:rsid w:val="007C0B4A"/>
    <w:rsid w:val="007C0F15"/>
    <w:rsid w:val="007C15CF"/>
    <w:rsid w:val="007C178E"/>
    <w:rsid w:val="007C1D08"/>
    <w:rsid w:val="007C1D10"/>
    <w:rsid w:val="007C1F2E"/>
    <w:rsid w:val="007C227C"/>
    <w:rsid w:val="007C230C"/>
    <w:rsid w:val="007C3031"/>
    <w:rsid w:val="007C3473"/>
    <w:rsid w:val="007C34CA"/>
    <w:rsid w:val="007C4918"/>
    <w:rsid w:val="007C5002"/>
    <w:rsid w:val="007C5090"/>
    <w:rsid w:val="007C5111"/>
    <w:rsid w:val="007C514E"/>
    <w:rsid w:val="007C520F"/>
    <w:rsid w:val="007C5EAE"/>
    <w:rsid w:val="007C603F"/>
    <w:rsid w:val="007C62E7"/>
    <w:rsid w:val="007C68AF"/>
    <w:rsid w:val="007D02AA"/>
    <w:rsid w:val="007D055A"/>
    <w:rsid w:val="007D059F"/>
    <w:rsid w:val="007D07C5"/>
    <w:rsid w:val="007D1A54"/>
    <w:rsid w:val="007D1CBF"/>
    <w:rsid w:val="007D21D6"/>
    <w:rsid w:val="007D25C2"/>
    <w:rsid w:val="007D2D16"/>
    <w:rsid w:val="007D36B9"/>
    <w:rsid w:val="007D3972"/>
    <w:rsid w:val="007D3BE7"/>
    <w:rsid w:val="007D4036"/>
    <w:rsid w:val="007D4078"/>
    <w:rsid w:val="007D4376"/>
    <w:rsid w:val="007D451C"/>
    <w:rsid w:val="007D49C6"/>
    <w:rsid w:val="007D5260"/>
    <w:rsid w:val="007D5A00"/>
    <w:rsid w:val="007D6154"/>
    <w:rsid w:val="007D62A7"/>
    <w:rsid w:val="007D6E7D"/>
    <w:rsid w:val="007D711D"/>
    <w:rsid w:val="007D7232"/>
    <w:rsid w:val="007D7333"/>
    <w:rsid w:val="007D759E"/>
    <w:rsid w:val="007D7813"/>
    <w:rsid w:val="007D7AC8"/>
    <w:rsid w:val="007E03CD"/>
    <w:rsid w:val="007E0491"/>
    <w:rsid w:val="007E04AF"/>
    <w:rsid w:val="007E054C"/>
    <w:rsid w:val="007E0A06"/>
    <w:rsid w:val="007E1130"/>
    <w:rsid w:val="007E137F"/>
    <w:rsid w:val="007E149C"/>
    <w:rsid w:val="007E1CB1"/>
    <w:rsid w:val="007E25C5"/>
    <w:rsid w:val="007E25E0"/>
    <w:rsid w:val="007E269C"/>
    <w:rsid w:val="007E2750"/>
    <w:rsid w:val="007E2CF8"/>
    <w:rsid w:val="007E318A"/>
    <w:rsid w:val="007E31F4"/>
    <w:rsid w:val="007E321A"/>
    <w:rsid w:val="007E3741"/>
    <w:rsid w:val="007E3AD3"/>
    <w:rsid w:val="007E51D1"/>
    <w:rsid w:val="007E58ED"/>
    <w:rsid w:val="007E593B"/>
    <w:rsid w:val="007E6099"/>
    <w:rsid w:val="007E6482"/>
    <w:rsid w:val="007E69D6"/>
    <w:rsid w:val="007E7110"/>
    <w:rsid w:val="007E7405"/>
    <w:rsid w:val="007F0615"/>
    <w:rsid w:val="007F064E"/>
    <w:rsid w:val="007F0B7B"/>
    <w:rsid w:val="007F106D"/>
    <w:rsid w:val="007F1184"/>
    <w:rsid w:val="007F13A7"/>
    <w:rsid w:val="007F1C84"/>
    <w:rsid w:val="007F1DBE"/>
    <w:rsid w:val="007F1F90"/>
    <w:rsid w:val="007F2252"/>
    <w:rsid w:val="007F23A1"/>
    <w:rsid w:val="007F23A3"/>
    <w:rsid w:val="007F41B1"/>
    <w:rsid w:val="007F45A4"/>
    <w:rsid w:val="007F605D"/>
    <w:rsid w:val="007F6207"/>
    <w:rsid w:val="007F6548"/>
    <w:rsid w:val="007F65F7"/>
    <w:rsid w:val="007F6D82"/>
    <w:rsid w:val="007F70B3"/>
    <w:rsid w:val="007F7313"/>
    <w:rsid w:val="007F74F4"/>
    <w:rsid w:val="007F7799"/>
    <w:rsid w:val="007F799C"/>
    <w:rsid w:val="00800169"/>
    <w:rsid w:val="008009B0"/>
    <w:rsid w:val="00801130"/>
    <w:rsid w:val="008018FA"/>
    <w:rsid w:val="00801BF1"/>
    <w:rsid w:val="0080243F"/>
    <w:rsid w:val="0080249F"/>
    <w:rsid w:val="008024A3"/>
    <w:rsid w:val="008027AE"/>
    <w:rsid w:val="008028C1"/>
    <w:rsid w:val="00802920"/>
    <w:rsid w:val="00803080"/>
    <w:rsid w:val="008030F5"/>
    <w:rsid w:val="008033ED"/>
    <w:rsid w:val="0080386D"/>
    <w:rsid w:val="00803878"/>
    <w:rsid w:val="00803FBF"/>
    <w:rsid w:val="00804125"/>
    <w:rsid w:val="0080418C"/>
    <w:rsid w:val="00804329"/>
    <w:rsid w:val="008056D9"/>
    <w:rsid w:val="008056F2"/>
    <w:rsid w:val="00805E45"/>
    <w:rsid w:val="00805F54"/>
    <w:rsid w:val="00806047"/>
    <w:rsid w:val="00806115"/>
    <w:rsid w:val="008061C9"/>
    <w:rsid w:val="00806789"/>
    <w:rsid w:val="00806993"/>
    <w:rsid w:val="00806A07"/>
    <w:rsid w:val="008076FB"/>
    <w:rsid w:val="0080793F"/>
    <w:rsid w:val="00807BA8"/>
    <w:rsid w:val="00807E65"/>
    <w:rsid w:val="008101E6"/>
    <w:rsid w:val="0081038D"/>
    <w:rsid w:val="00810608"/>
    <w:rsid w:val="00810620"/>
    <w:rsid w:val="00810B37"/>
    <w:rsid w:val="0081121D"/>
    <w:rsid w:val="00811695"/>
    <w:rsid w:val="008123CD"/>
    <w:rsid w:val="00812816"/>
    <w:rsid w:val="00812C34"/>
    <w:rsid w:val="0081327C"/>
    <w:rsid w:val="0081346F"/>
    <w:rsid w:val="00813BF1"/>
    <w:rsid w:val="00814635"/>
    <w:rsid w:val="008148BF"/>
    <w:rsid w:val="00814D20"/>
    <w:rsid w:val="00815245"/>
    <w:rsid w:val="0081597D"/>
    <w:rsid w:val="00815D81"/>
    <w:rsid w:val="00816F3F"/>
    <w:rsid w:val="00817B44"/>
    <w:rsid w:val="00817BB2"/>
    <w:rsid w:val="00817C03"/>
    <w:rsid w:val="00817EF2"/>
    <w:rsid w:val="008201FB"/>
    <w:rsid w:val="008204F8"/>
    <w:rsid w:val="00820B07"/>
    <w:rsid w:val="00820C9C"/>
    <w:rsid w:val="00820D93"/>
    <w:rsid w:val="00820FCE"/>
    <w:rsid w:val="008211B0"/>
    <w:rsid w:val="00821549"/>
    <w:rsid w:val="008217B4"/>
    <w:rsid w:val="008218E4"/>
    <w:rsid w:val="00821E75"/>
    <w:rsid w:val="00821EF9"/>
    <w:rsid w:val="00822A81"/>
    <w:rsid w:val="00823601"/>
    <w:rsid w:val="00823900"/>
    <w:rsid w:val="00823A1D"/>
    <w:rsid w:val="00823F20"/>
    <w:rsid w:val="00824211"/>
    <w:rsid w:val="00824E41"/>
    <w:rsid w:val="00824E95"/>
    <w:rsid w:val="00824EA5"/>
    <w:rsid w:val="00825039"/>
    <w:rsid w:val="008252D5"/>
    <w:rsid w:val="00825D07"/>
    <w:rsid w:val="00826430"/>
    <w:rsid w:val="008266D6"/>
    <w:rsid w:val="00826A71"/>
    <w:rsid w:val="0082715F"/>
    <w:rsid w:val="0082731C"/>
    <w:rsid w:val="0082733D"/>
    <w:rsid w:val="00827D22"/>
    <w:rsid w:val="0083003E"/>
    <w:rsid w:val="008301B4"/>
    <w:rsid w:val="008302CB"/>
    <w:rsid w:val="00830652"/>
    <w:rsid w:val="00830AB8"/>
    <w:rsid w:val="00831039"/>
    <w:rsid w:val="00831963"/>
    <w:rsid w:val="00831C7B"/>
    <w:rsid w:val="00831FE3"/>
    <w:rsid w:val="00832237"/>
    <w:rsid w:val="0083253D"/>
    <w:rsid w:val="00832796"/>
    <w:rsid w:val="00832D99"/>
    <w:rsid w:val="00832F44"/>
    <w:rsid w:val="00833073"/>
    <w:rsid w:val="00833148"/>
    <w:rsid w:val="00833194"/>
    <w:rsid w:val="00833394"/>
    <w:rsid w:val="0083388E"/>
    <w:rsid w:val="00833BF1"/>
    <w:rsid w:val="00833C32"/>
    <w:rsid w:val="00833E58"/>
    <w:rsid w:val="0083401F"/>
    <w:rsid w:val="00834399"/>
    <w:rsid w:val="008349CA"/>
    <w:rsid w:val="00834E1F"/>
    <w:rsid w:val="00834EBB"/>
    <w:rsid w:val="0083528C"/>
    <w:rsid w:val="00835AE3"/>
    <w:rsid w:val="008368C8"/>
    <w:rsid w:val="008368FC"/>
    <w:rsid w:val="008369E1"/>
    <w:rsid w:val="00837479"/>
    <w:rsid w:val="00837979"/>
    <w:rsid w:val="00837B97"/>
    <w:rsid w:val="00840637"/>
    <w:rsid w:val="00840750"/>
    <w:rsid w:val="0084076D"/>
    <w:rsid w:val="008409E4"/>
    <w:rsid w:val="00841066"/>
    <w:rsid w:val="00841A04"/>
    <w:rsid w:val="00841F24"/>
    <w:rsid w:val="008426FF"/>
    <w:rsid w:val="00842AE3"/>
    <w:rsid w:val="00842D51"/>
    <w:rsid w:val="00842D99"/>
    <w:rsid w:val="00842E48"/>
    <w:rsid w:val="008431EC"/>
    <w:rsid w:val="008435B6"/>
    <w:rsid w:val="00843EEE"/>
    <w:rsid w:val="00843F1C"/>
    <w:rsid w:val="008468E4"/>
    <w:rsid w:val="00846D74"/>
    <w:rsid w:val="0084752E"/>
    <w:rsid w:val="00847878"/>
    <w:rsid w:val="0084797E"/>
    <w:rsid w:val="00851539"/>
    <w:rsid w:val="00851584"/>
    <w:rsid w:val="00851B8B"/>
    <w:rsid w:val="00851CF9"/>
    <w:rsid w:val="00851F08"/>
    <w:rsid w:val="008523D9"/>
    <w:rsid w:val="008527BC"/>
    <w:rsid w:val="008532AE"/>
    <w:rsid w:val="00853623"/>
    <w:rsid w:val="00853E94"/>
    <w:rsid w:val="00853F39"/>
    <w:rsid w:val="00853F9B"/>
    <w:rsid w:val="00854394"/>
    <w:rsid w:val="0085457C"/>
    <w:rsid w:val="00854A36"/>
    <w:rsid w:val="00854A6A"/>
    <w:rsid w:val="0085507E"/>
    <w:rsid w:val="00855403"/>
    <w:rsid w:val="00855BFC"/>
    <w:rsid w:val="008560A7"/>
    <w:rsid w:val="008561DC"/>
    <w:rsid w:val="008575CF"/>
    <w:rsid w:val="00857E1A"/>
    <w:rsid w:val="008602BC"/>
    <w:rsid w:val="008608CA"/>
    <w:rsid w:val="008609A6"/>
    <w:rsid w:val="00860CA7"/>
    <w:rsid w:val="00860D5F"/>
    <w:rsid w:val="008617A4"/>
    <w:rsid w:val="00861A54"/>
    <w:rsid w:val="00861EDF"/>
    <w:rsid w:val="00862240"/>
    <w:rsid w:val="00862478"/>
    <w:rsid w:val="00862A2B"/>
    <w:rsid w:val="00862C3D"/>
    <w:rsid w:val="00862F1F"/>
    <w:rsid w:val="008634EB"/>
    <w:rsid w:val="00864CF9"/>
    <w:rsid w:val="00864F31"/>
    <w:rsid w:val="00864FC8"/>
    <w:rsid w:val="00865124"/>
    <w:rsid w:val="00865241"/>
    <w:rsid w:val="0086541F"/>
    <w:rsid w:val="0086553F"/>
    <w:rsid w:val="0086562B"/>
    <w:rsid w:val="00865CB6"/>
    <w:rsid w:val="008663DD"/>
    <w:rsid w:val="00866BCF"/>
    <w:rsid w:val="00866F8A"/>
    <w:rsid w:val="00867168"/>
    <w:rsid w:val="008671D9"/>
    <w:rsid w:val="00867433"/>
    <w:rsid w:val="00867D61"/>
    <w:rsid w:val="00870668"/>
    <w:rsid w:val="00870766"/>
    <w:rsid w:val="00870C86"/>
    <w:rsid w:val="00870E51"/>
    <w:rsid w:val="0087176C"/>
    <w:rsid w:val="00871B67"/>
    <w:rsid w:val="00872273"/>
    <w:rsid w:val="008723E4"/>
    <w:rsid w:val="00872521"/>
    <w:rsid w:val="00872590"/>
    <w:rsid w:val="00872594"/>
    <w:rsid w:val="00872617"/>
    <w:rsid w:val="008726B2"/>
    <w:rsid w:val="0087311E"/>
    <w:rsid w:val="008731B1"/>
    <w:rsid w:val="008736D5"/>
    <w:rsid w:val="00873996"/>
    <w:rsid w:val="00873DD0"/>
    <w:rsid w:val="00874326"/>
    <w:rsid w:val="00874C92"/>
    <w:rsid w:val="00875A0F"/>
    <w:rsid w:val="00875FB8"/>
    <w:rsid w:val="00876135"/>
    <w:rsid w:val="00876963"/>
    <w:rsid w:val="00876ADD"/>
    <w:rsid w:val="00876CA4"/>
    <w:rsid w:val="00876CD1"/>
    <w:rsid w:val="00876E58"/>
    <w:rsid w:val="00877114"/>
    <w:rsid w:val="008778A3"/>
    <w:rsid w:val="00877AFE"/>
    <w:rsid w:val="00877CDD"/>
    <w:rsid w:val="00877CEB"/>
    <w:rsid w:val="00880029"/>
    <w:rsid w:val="008804D0"/>
    <w:rsid w:val="008805D5"/>
    <w:rsid w:val="008805DD"/>
    <w:rsid w:val="0088080F"/>
    <w:rsid w:val="008808E7"/>
    <w:rsid w:val="00880A0A"/>
    <w:rsid w:val="00880AE6"/>
    <w:rsid w:val="0088100A"/>
    <w:rsid w:val="00881B9D"/>
    <w:rsid w:val="008821EC"/>
    <w:rsid w:val="00882692"/>
    <w:rsid w:val="008829DE"/>
    <w:rsid w:val="00883154"/>
    <w:rsid w:val="00883325"/>
    <w:rsid w:val="008835C6"/>
    <w:rsid w:val="0088375C"/>
    <w:rsid w:val="00883994"/>
    <w:rsid w:val="00883A2A"/>
    <w:rsid w:val="0088422B"/>
    <w:rsid w:val="0088500C"/>
    <w:rsid w:val="008850CD"/>
    <w:rsid w:val="00885A5D"/>
    <w:rsid w:val="00885B71"/>
    <w:rsid w:val="00885C05"/>
    <w:rsid w:val="00885D94"/>
    <w:rsid w:val="00885E1D"/>
    <w:rsid w:val="00886965"/>
    <w:rsid w:val="008869B4"/>
    <w:rsid w:val="0088729D"/>
    <w:rsid w:val="0088743A"/>
    <w:rsid w:val="008874A0"/>
    <w:rsid w:val="008874AA"/>
    <w:rsid w:val="00887597"/>
    <w:rsid w:val="0088771A"/>
    <w:rsid w:val="00887C11"/>
    <w:rsid w:val="00887EB4"/>
    <w:rsid w:val="00887F7E"/>
    <w:rsid w:val="00890097"/>
    <w:rsid w:val="008902F5"/>
    <w:rsid w:val="00890BEB"/>
    <w:rsid w:val="00890EBB"/>
    <w:rsid w:val="00891A8F"/>
    <w:rsid w:val="00891DA6"/>
    <w:rsid w:val="00891DB7"/>
    <w:rsid w:val="008925F3"/>
    <w:rsid w:val="00892CC4"/>
    <w:rsid w:val="008931F0"/>
    <w:rsid w:val="0089335E"/>
    <w:rsid w:val="008933B3"/>
    <w:rsid w:val="00894508"/>
    <w:rsid w:val="00894A3A"/>
    <w:rsid w:val="0089511B"/>
    <w:rsid w:val="00895272"/>
    <w:rsid w:val="0089538C"/>
    <w:rsid w:val="0089597F"/>
    <w:rsid w:val="00895AE6"/>
    <w:rsid w:val="00896126"/>
    <w:rsid w:val="00896813"/>
    <w:rsid w:val="00896E5B"/>
    <w:rsid w:val="00897485"/>
    <w:rsid w:val="00897915"/>
    <w:rsid w:val="00897B6C"/>
    <w:rsid w:val="00897BE7"/>
    <w:rsid w:val="00897E5A"/>
    <w:rsid w:val="008A008E"/>
    <w:rsid w:val="008A0220"/>
    <w:rsid w:val="008A0B82"/>
    <w:rsid w:val="008A1075"/>
    <w:rsid w:val="008A180F"/>
    <w:rsid w:val="008A1C08"/>
    <w:rsid w:val="008A2193"/>
    <w:rsid w:val="008A2F23"/>
    <w:rsid w:val="008A2F4A"/>
    <w:rsid w:val="008A2FDC"/>
    <w:rsid w:val="008A301F"/>
    <w:rsid w:val="008A32FA"/>
    <w:rsid w:val="008A3431"/>
    <w:rsid w:val="008A37B4"/>
    <w:rsid w:val="008A3B01"/>
    <w:rsid w:val="008A3BC2"/>
    <w:rsid w:val="008A3E80"/>
    <w:rsid w:val="008A441C"/>
    <w:rsid w:val="008A4840"/>
    <w:rsid w:val="008A4A61"/>
    <w:rsid w:val="008A5225"/>
    <w:rsid w:val="008A5B5A"/>
    <w:rsid w:val="008A5CF9"/>
    <w:rsid w:val="008A669F"/>
    <w:rsid w:val="008A6D83"/>
    <w:rsid w:val="008A7BA3"/>
    <w:rsid w:val="008B0660"/>
    <w:rsid w:val="008B0984"/>
    <w:rsid w:val="008B0B4C"/>
    <w:rsid w:val="008B0F08"/>
    <w:rsid w:val="008B1422"/>
    <w:rsid w:val="008B185F"/>
    <w:rsid w:val="008B1FE6"/>
    <w:rsid w:val="008B227F"/>
    <w:rsid w:val="008B26B9"/>
    <w:rsid w:val="008B29FB"/>
    <w:rsid w:val="008B3178"/>
    <w:rsid w:val="008B3B91"/>
    <w:rsid w:val="008B3BDB"/>
    <w:rsid w:val="008B452B"/>
    <w:rsid w:val="008B4860"/>
    <w:rsid w:val="008B4FF0"/>
    <w:rsid w:val="008B5259"/>
    <w:rsid w:val="008B6304"/>
    <w:rsid w:val="008B6AB7"/>
    <w:rsid w:val="008B724D"/>
    <w:rsid w:val="008B73AE"/>
    <w:rsid w:val="008B75C2"/>
    <w:rsid w:val="008B778D"/>
    <w:rsid w:val="008B7853"/>
    <w:rsid w:val="008C06BB"/>
    <w:rsid w:val="008C0A37"/>
    <w:rsid w:val="008C0B87"/>
    <w:rsid w:val="008C11E6"/>
    <w:rsid w:val="008C16F8"/>
    <w:rsid w:val="008C197E"/>
    <w:rsid w:val="008C29D1"/>
    <w:rsid w:val="008C2F25"/>
    <w:rsid w:val="008C3487"/>
    <w:rsid w:val="008C3D2B"/>
    <w:rsid w:val="008C3F88"/>
    <w:rsid w:val="008C4222"/>
    <w:rsid w:val="008C4706"/>
    <w:rsid w:val="008C4D7E"/>
    <w:rsid w:val="008C4F3A"/>
    <w:rsid w:val="008C52DB"/>
    <w:rsid w:val="008C5419"/>
    <w:rsid w:val="008C63B2"/>
    <w:rsid w:val="008C63BA"/>
    <w:rsid w:val="008C6C26"/>
    <w:rsid w:val="008C7C01"/>
    <w:rsid w:val="008D0C81"/>
    <w:rsid w:val="008D1206"/>
    <w:rsid w:val="008D12E2"/>
    <w:rsid w:val="008D12FB"/>
    <w:rsid w:val="008D131B"/>
    <w:rsid w:val="008D14C6"/>
    <w:rsid w:val="008D1874"/>
    <w:rsid w:val="008D1A04"/>
    <w:rsid w:val="008D1B6B"/>
    <w:rsid w:val="008D2143"/>
    <w:rsid w:val="008D21B5"/>
    <w:rsid w:val="008D23EC"/>
    <w:rsid w:val="008D2417"/>
    <w:rsid w:val="008D25B1"/>
    <w:rsid w:val="008D26EA"/>
    <w:rsid w:val="008D3385"/>
    <w:rsid w:val="008D349F"/>
    <w:rsid w:val="008D3682"/>
    <w:rsid w:val="008D370F"/>
    <w:rsid w:val="008D3751"/>
    <w:rsid w:val="008D3A0A"/>
    <w:rsid w:val="008D3F22"/>
    <w:rsid w:val="008D423F"/>
    <w:rsid w:val="008D49E9"/>
    <w:rsid w:val="008D500A"/>
    <w:rsid w:val="008D5175"/>
    <w:rsid w:val="008D5486"/>
    <w:rsid w:val="008D5731"/>
    <w:rsid w:val="008D5CD2"/>
    <w:rsid w:val="008D61A4"/>
    <w:rsid w:val="008D66C6"/>
    <w:rsid w:val="008D7758"/>
    <w:rsid w:val="008D7FB9"/>
    <w:rsid w:val="008E0600"/>
    <w:rsid w:val="008E061F"/>
    <w:rsid w:val="008E074B"/>
    <w:rsid w:val="008E1814"/>
    <w:rsid w:val="008E19CE"/>
    <w:rsid w:val="008E2016"/>
    <w:rsid w:val="008E2053"/>
    <w:rsid w:val="008E22A6"/>
    <w:rsid w:val="008E2770"/>
    <w:rsid w:val="008E3042"/>
    <w:rsid w:val="008E35CB"/>
    <w:rsid w:val="008E3B23"/>
    <w:rsid w:val="008E3B83"/>
    <w:rsid w:val="008E42CF"/>
    <w:rsid w:val="008E43D3"/>
    <w:rsid w:val="008E47DD"/>
    <w:rsid w:val="008E4A9E"/>
    <w:rsid w:val="008E4D45"/>
    <w:rsid w:val="008E51D3"/>
    <w:rsid w:val="008E520A"/>
    <w:rsid w:val="008E52FA"/>
    <w:rsid w:val="008E5630"/>
    <w:rsid w:val="008E57C5"/>
    <w:rsid w:val="008E585D"/>
    <w:rsid w:val="008E5B2A"/>
    <w:rsid w:val="008E5C2B"/>
    <w:rsid w:val="008E5ED9"/>
    <w:rsid w:val="008E699C"/>
    <w:rsid w:val="008E72BE"/>
    <w:rsid w:val="008E7AE8"/>
    <w:rsid w:val="008E7F51"/>
    <w:rsid w:val="008F0004"/>
    <w:rsid w:val="008F041C"/>
    <w:rsid w:val="008F1208"/>
    <w:rsid w:val="008F120F"/>
    <w:rsid w:val="008F1CB7"/>
    <w:rsid w:val="008F201B"/>
    <w:rsid w:val="008F20D1"/>
    <w:rsid w:val="008F223D"/>
    <w:rsid w:val="008F246D"/>
    <w:rsid w:val="008F25C8"/>
    <w:rsid w:val="008F31E8"/>
    <w:rsid w:val="008F34A4"/>
    <w:rsid w:val="008F3E37"/>
    <w:rsid w:val="008F468B"/>
    <w:rsid w:val="008F4974"/>
    <w:rsid w:val="008F4AA7"/>
    <w:rsid w:val="008F4B26"/>
    <w:rsid w:val="008F52BE"/>
    <w:rsid w:val="008F53D3"/>
    <w:rsid w:val="008F549B"/>
    <w:rsid w:val="008F5BD9"/>
    <w:rsid w:val="008F5EFC"/>
    <w:rsid w:val="008F6ED6"/>
    <w:rsid w:val="008F70A1"/>
    <w:rsid w:val="009001EC"/>
    <w:rsid w:val="0090072C"/>
    <w:rsid w:val="00900C57"/>
    <w:rsid w:val="00900D5D"/>
    <w:rsid w:val="00900EE8"/>
    <w:rsid w:val="00901050"/>
    <w:rsid w:val="00901200"/>
    <w:rsid w:val="00901302"/>
    <w:rsid w:val="00901518"/>
    <w:rsid w:val="00901A27"/>
    <w:rsid w:val="00902363"/>
    <w:rsid w:val="00903238"/>
    <w:rsid w:val="0090369D"/>
    <w:rsid w:val="00903758"/>
    <w:rsid w:val="0090375C"/>
    <w:rsid w:val="009043C7"/>
    <w:rsid w:val="00904728"/>
    <w:rsid w:val="009048DE"/>
    <w:rsid w:val="00904F1B"/>
    <w:rsid w:val="009050B5"/>
    <w:rsid w:val="009050D3"/>
    <w:rsid w:val="0090535F"/>
    <w:rsid w:val="00905627"/>
    <w:rsid w:val="00905689"/>
    <w:rsid w:val="0090569F"/>
    <w:rsid w:val="00905C34"/>
    <w:rsid w:val="00906BD0"/>
    <w:rsid w:val="00906E9D"/>
    <w:rsid w:val="00907261"/>
    <w:rsid w:val="00907DFD"/>
    <w:rsid w:val="00910C82"/>
    <w:rsid w:val="009113D5"/>
    <w:rsid w:val="00911CCA"/>
    <w:rsid w:val="00912198"/>
    <w:rsid w:val="00912692"/>
    <w:rsid w:val="00912CC1"/>
    <w:rsid w:val="00913170"/>
    <w:rsid w:val="009132EA"/>
    <w:rsid w:val="009134F7"/>
    <w:rsid w:val="00914084"/>
    <w:rsid w:val="00914E12"/>
    <w:rsid w:val="00915F07"/>
    <w:rsid w:val="00916046"/>
    <w:rsid w:val="009162DE"/>
    <w:rsid w:val="00916303"/>
    <w:rsid w:val="00916379"/>
    <w:rsid w:val="009171FD"/>
    <w:rsid w:val="0091723C"/>
    <w:rsid w:val="0091752E"/>
    <w:rsid w:val="00917922"/>
    <w:rsid w:val="00917CFC"/>
    <w:rsid w:val="00920243"/>
    <w:rsid w:val="00920587"/>
    <w:rsid w:val="00920699"/>
    <w:rsid w:val="009209E4"/>
    <w:rsid w:val="00920A60"/>
    <w:rsid w:val="00920F00"/>
    <w:rsid w:val="0092151C"/>
    <w:rsid w:val="00921992"/>
    <w:rsid w:val="009220A3"/>
    <w:rsid w:val="0092367B"/>
    <w:rsid w:val="009238A8"/>
    <w:rsid w:val="00923A07"/>
    <w:rsid w:val="00923DDB"/>
    <w:rsid w:val="00925141"/>
    <w:rsid w:val="009257CC"/>
    <w:rsid w:val="00925A7A"/>
    <w:rsid w:val="00925AE0"/>
    <w:rsid w:val="0092604F"/>
    <w:rsid w:val="00926DFC"/>
    <w:rsid w:val="00926E3C"/>
    <w:rsid w:val="00926FA9"/>
    <w:rsid w:val="00927170"/>
    <w:rsid w:val="009271E5"/>
    <w:rsid w:val="0092781C"/>
    <w:rsid w:val="009305C6"/>
    <w:rsid w:val="00930B55"/>
    <w:rsid w:val="00930D4E"/>
    <w:rsid w:val="00930E0B"/>
    <w:rsid w:val="0093183D"/>
    <w:rsid w:val="00931AC8"/>
    <w:rsid w:val="00932333"/>
    <w:rsid w:val="00932544"/>
    <w:rsid w:val="009332F9"/>
    <w:rsid w:val="00933D39"/>
    <w:rsid w:val="00933FAD"/>
    <w:rsid w:val="009351F7"/>
    <w:rsid w:val="009361CD"/>
    <w:rsid w:val="00936429"/>
    <w:rsid w:val="00936FD8"/>
    <w:rsid w:val="0093720D"/>
    <w:rsid w:val="00937562"/>
    <w:rsid w:val="00937A96"/>
    <w:rsid w:val="00937E6C"/>
    <w:rsid w:val="009401F8"/>
    <w:rsid w:val="00940633"/>
    <w:rsid w:val="00941626"/>
    <w:rsid w:val="00941669"/>
    <w:rsid w:val="009420A5"/>
    <w:rsid w:val="00942537"/>
    <w:rsid w:val="00943212"/>
    <w:rsid w:val="009432EF"/>
    <w:rsid w:val="009434CE"/>
    <w:rsid w:val="00943A6C"/>
    <w:rsid w:val="00944441"/>
    <w:rsid w:val="00944705"/>
    <w:rsid w:val="0094474B"/>
    <w:rsid w:val="00945272"/>
    <w:rsid w:val="00945A3E"/>
    <w:rsid w:val="00945C61"/>
    <w:rsid w:val="00946044"/>
    <w:rsid w:val="0094607C"/>
    <w:rsid w:val="0094611C"/>
    <w:rsid w:val="009461D9"/>
    <w:rsid w:val="00946527"/>
    <w:rsid w:val="00947019"/>
    <w:rsid w:val="0094704F"/>
    <w:rsid w:val="00947524"/>
    <w:rsid w:val="00950435"/>
    <w:rsid w:val="00950560"/>
    <w:rsid w:val="009508BB"/>
    <w:rsid w:val="00950FBC"/>
    <w:rsid w:val="0095145B"/>
    <w:rsid w:val="00951D52"/>
    <w:rsid w:val="00952395"/>
    <w:rsid w:val="00952C2B"/>
    <w:rsid w:val="00952CBA"/>
    <w:rsid w:val="00954249"/>
    <w:rsid w:val="00954651"/>
    <w:rsid w:val="009551A6"/>
    <w:rsid w:val="00955205"/>
    <w:rsid w:val="00955B3A"/>
    <w:rsid w:val="009563F7"/>
    <w:rsid w:val="0095676C"/>
    <w:rsid w:val="00956C20"/>
    <w:rsid w:val="00957135"/>
    <w:rsid w:val="009571EC"/>
    <w:rsid w:val="009579EC"/>
    <w:rsid w:val="009579F6"/>
    <w:rsid w:val="00957B63"/>
    <w:rsid w:val="00957E5A"/>
    <w:rsid w:val="00957EEB"/>
    <w:rsid w:val="00957FC4"/>
    <w:rsid w:val="00960430"/>
    <w:rsid w:val="00960699"/>
    <w:rsid w:val="00960F23"/>
    <w:rsid w:val="00961009"/>
    <w:rsid w:val="009615DF"/>
    <w:rsid w:val="00962001"/>
    <w:rsid w:val="009623AA"/>
    <w:rsid w:val="009628E7"/>
    <w:rsid w:val="00962AE9"/>
    <w:rsid w:val="00962BA1"/>
    <w:rsid w:val="00962F9D"/>
    <w:rsid w:val="00963458"/>
    <w:rsid w:val="00964110"/>
    <w:rsid w:val="009642F7"/>
    <w:rsid w:val="00964856"/>
    <w:rsid w:val="0096489D"/>
    <w:rsid w:val="00964E9A"/>
    <w:rsid w:val="00964EFD"/>
    <w:rsid w:val="00964F84"/>
    <w:rsid w:val="00965025"/>
    <w:rsid w:val="009650C1"/>
    <w:rsid w:val="0096562A"/>
    <w:rsid w:val="009658CC"/>
    <w:rsid w:val="00965954"/>
    <w:rsid w:val="00965CA7"/>
    <w:rsid w:val="00965EF7"/>
    <w:rsid w:val="009660FB"/>
    <w:rsid w:val="0096647B"/>
    <w:rsid w:val="00966759"/>
    <w:rsid w:val="00966DC8"/>
    <w:rsid w:val="009672DD"/>
    <w:rsid w:val="00967CA7"/>
    <w:rsid w:val="00967F8F"/>
    <w:rsid w:val="00970401"/>
    <w:rsid w:val="009710B7"/>
    <w:rsid w:val="009712AA"/>
    <w:rsid w:val="009712DE"/>
    <w:rsid w:val="00971334"/>
    <w:rsid w:val="00971A95"/>
    <w:rsid w:val="009729FE"/>
    <w:rsid w:val="00972FB7"/>
    <w:rsid w:val="009731C7"/>
    <w:rsid w:val="009734D2"/>
    <w:rsid w:val="009738DE"/>
    <w:rsid w:val="009743C8"/>
    <w:rsid w:val="00974583"/>
    <w:rsid w:val="00974E5D"/>
    <w:rsid w:val="009755CC"/>
    <w:rsid w:val="00975663"/>
    <w:rsid w:val="00975686"/>
    <w:rsid w:val="00976139"/>
    <w:rsid w:val="009761DA"/>
    <w:rsid w:val="00976453"/>
    <w:rsid w:val="00976EDF"/>
    <w:rsid w:val="009775CA"/>
    <w:rsid w:val="00977981"/>
    <w:rsid w:val="00977986"/>
    <w:rsid w:val="0098002F"/>
    <w:rsid w:val="00980235"/>
    <w:rsid w:val="009803EF"/>
    <w:rsid w:val="00980E2A"/>
    <w:rsid w:val="009816D7"/>
    <w:rsid w:val="009823DF"/>
    <w:rsid w:val="009826B2"/>
    <w:rsid w:val="009829B5"/>
    <w:rsid w:val="00982BB4"/>
    <w:rsid w:val="00982F0A"/>
    <w:rsid w:val="00983375"/>
    <w:rsid w:val="00983644"/>
    <w:rsid w:val="00983FCF"/>
    <w:rsid w:val="00984191"/>
    <w:rsid w:val="0098425A"/>
    <w:rsid w:val="00984A1D"/>
    <w:rsid w:val="00984B02"/>
    <w:rsid w:val="0098543B"/>
    <w:rsid w:val="0098547E"/>
    <w:rsid w:val="0098593F"/>
    <w:rsid w:val="00985C6A"/>
    <w:rsid w:val="00986F0D"/>
    <w:rsid w:val="0098724C"/>
    <w:rsid w:val="009876A0"/>
    <w:rsid w:val="00987839"/>
    <w:rsid w:val="00987D2F"/>
    <w:rsid w:val="00987DA1"/>
    <w:rsid w:val="00990A50"/>
    <w:rsid w:val="00990AC2"/>
    <w:rsid w:val="00991254"/>
    <w:rsid w:val="009915A9"/>
    <w:rsid w:val="0099174D"/>
    <w:rsid w:val="00991C31"/>
    <w:rsid w:val="00992FAC"/>
    <w:rsid w:val="00993324"/>
    <w:rsid w:val="00993449"/>
    <w:rsid w:val="009942F9"/>
    <w:rsid w:val="00994B76"/>
    <w:rsid w:val="00994E79"/>
    <w:rsid w:val="00995624"/>
    <w:rsid w:val="009956DA"/>
    <w:rsid w:val="00995AD6"/>
    <w:rsid w:val="00996542"/>
    <w:rsid w:val="009965FA"/>
    <w:rsid w:val="0099685F"/>
    <w:rsid w:val="00996937"/>
    <w:rsid w:val="00996CAA"/>
    <w:rsid w:val="00996CDC"/>
    <w:rsid w:val="00996EDF"/>
    <w:rsid w:val="00997141"/>
    <w:rsid w:val="00997581"/>
    <w:rsid w:val="009A0097"/>
    <w:rsid w:val="009A0975"/>
    <w:rsid w:val="009A0EB4"/>
    <w:rsid w:val="009A0FCD"/>
    <w:rsid w:val="009A11A1"/>
    <w:rsid w:val="009A14A9"/>
    <w:rsid w:val="009A1D19"/>
    <w:rsid w:val="009A213B"/>
    <w:rsid w:val="009A245C"/>
    <w:rsid w:val="009A2750"/>
    <w:rsid w:val="009A32F6"/>
    <w:rsid w:val="009A3B34"/>
    <w:rsid w:val="009A4147"/>
    <w:rsid w:val="009A41CA"/>
    <w:rsid w:val="009A41D9"/>
    <w:rsid w:val="009A42CC"/>
    <w:rsid w:val="009A4580"/>
    <w:rsid w:val="009A4BFF"/>
    <w:rsid w:val="009A4C68"/>
    <w:rsid w:val="009A5130"/>
    <w:rsid w:val="009A58B5"/>
    <w:rsid w:val="009A59BA"/>
    <w:rsid w:val="009A5B36"/>
    <w:rsid w:val="009A5C07"/>
    <w:rsid w:val="009A618F"/>
    <w:rsid w:val="009A736D"/>
    <w:rsid w:val="009A7374"/>
    <w:rsid w:val="009A75F5"/>
    <w:rsid w:val="009B00C7"/>
    <w:rsid w:val="009B020B"/>
    <w:rsid w:val="009B022F"/>
    <w:rsid w:val="009B0401"/>
    <w:rsid w:val="009B0842"/>
    <w:rsid w:val="009B0B8B"/>
    <w:rsid w:val="009B0F12"/>
    <w:rsid w:val="009B226C"/>
    <w:rsid w:val="009B296E"/>
    <w:rsid w:val="009B2D59"/>
    <w:rsid w:val="009B2DB2"/>
    <w:rsid w:val="009B3220"/>
    <w:rsid w:val="009B32BD"/>
    <w:rsid w:val="009B3911"/>
    <w:rsid w:val="009B3A01"/>
    <w:rsid w:val="009B3B0E"/>
    <w:rsid w:val="009B4445"/>
    <w:rsid w:val="009B51D3"/>
    <w:rsid w:val="009B63EF"/>
    <w:rsid w:val="009B6CAA"/>
    <w:rsid w:val="009B6EB5"/>
    <w:rsid w:val="009B71D8"/>
    <w:rsid w:val="009B7977"/>
    <w:rsid w:val="009C05AA"/>
    <w:rsid w:val="009C1608"/>
    <w:rsid w:val="009C182A"/>
    <w:rsid w:val="009C1889"/>
    <w:rsid w:val="009C2CDC"/>
    <w:rsid w:val="009C2FDD"/>
    <w:rsid w:val="009C3235"/>
    <w:rsid w:val="009C3748"/>
    <w:rsid w:val="009C3A2F"/>
    <w:rsid w:val="009C3BF0"/>
    <w:rsid w:val="009C3D5D"/>
    <w:rsid w:val="009C3F01"/>
    <w:rsid w:val="009C406F"/>
    <w:rsid w:val="009C4542"/>
    <w:rsid w:val="009C48ED"/>
    <w:rsid w:val="009C4907"/>
    <w:rsid w:val="009C4BDF"/>
    <w:rsid w:val="009C4D1B"/>
    <w:rsid w:val="009C4D53"/>
    <w:rsid w:val="009C4DD6"/>
    <w:rsid w:val="009C529A"/>
    <w:rsid w:val="009C568C"/>
    <w:rsid w:val="009C61EF"/>
    <w:rsid w:val="009C640F"/>
    <w:rsid w:val="009C6C56"/>
    <w:rsid w:val="009C6DC1"/>
    <w:rsid w:val="009C6EE7"/>
    <w:rsid w:val="009C7F9E"/>
    <w:rsid w:val="009D029E"/>
    <w:rsid w:val="009D0348"/>
    <w:rsid w:val="009D0B31"/>
    <w:rsid w:val="009D0DD3"/>
    <w:rsid w:val="009D11C0"/>
    <w:rsid w:val="009D175B"/>
    <w:rsid w:val="009D1F37"/>
    <w:rsid w:val="009D1F74"/>
    <w:rsid w:val="009D22FA"/>
    <w:rsid w:val="009D25E2"/>
    <w:rsid w:val="009D2643"/>
    <w:rsid w:val="009D2966"/>
    <w:rsid w:val="009D2E5E"/>
    <w:rsid w:val="009D3640"/>
    <w:rsid w:val="009D380A"/>
    <w:rsid w:val="009D3BD1"/>
    <w:rsid w:val="009D3C15"/>
    <w:rsid w:val="009D3D52"/>
    <w:rsid w:val="009D4787"/>
    <w:rsid w:val="009D478C"/>
    <w:rsid w:val="009D47CB"/>
    <w:rsid w:val="009D491B"/>
    <w:rsid w:val="009D4D96"/>
    <w:rsid w:val="009D51E5"/>
    <w:rsid w:val="009D5232"/>
    <w:rsid w:val="009D5549"/>
    <w:rsid w:val="009D577C"/>
    <w:rsid w:val="009D5AB7"/>
    <w:rsid w:val="009D5ACB"/>
    <w:rsid w:val="009D5C95"/>
    <w:rsid w:val="009D6775"/>
    <w:rsid w:val="009D697C"/>
    <w:rsid w:val="009D69A5"/>
    <w:rsid w:val="009D6CD8"/>
    <w:rsid w:val="009D6F28"/>
    <w:rsid w:val="009D7524"/>
    <w:rsid w:val="009D7780"/>
    <w:rsid w:val="009D7BAB"/>
    <w:rsid w:val="009D7EBB"/>
    <w:rsid w:val="009E0873"/>
    <w:rsid w:val="009E0943"/>
    <w:rsid w:val="009E0E4A"/>
    <w:rsid w:val="009E106F"/>
    <w:rsid w:val="009E2159"/>
    <w:rsid w:val="009E32D2"/>
    <w:rsid w:val="009E33BA"/>
    <w:rsid w:val="009E3592"/>
    <w:rsid w:val="009E382C"/>
    <w:rsid w:val="009E3BC6"/>
    <w:rsid w:val="009E3C9F"/>
    <w:rsid w:val="009E4684"/>
    <w:rsid w:val="009E47F2"/>
    <w:rsid w:val="009E4DB4"/>
    <w:rsid w:val="009E547E"/>
    <w:rsid w:val="009E5897"/>
    <w:rsid w:val="009E5968"/>
    <w:rsid w:val="009E5BB2"/>
    <w:rsid w:val="009E5EA8"/>
    <w:rsid w:val="009E5FB3"/>
    <w:rsid w:val="009E60A3"/>
    <w:rsid w:val="009F0187"/>
    <w:rsid w:val="009F0C66"/>
    <w:rsid w:val="009F0E1D"/>
    <w:rsid w:val="009F16C0"/>
    <w:rsid w:val="009F1888"/>
    <w:rsid w:val="009F29A2"/>
    <w:rsid w:val="009F2DE9"/>
    <w:rsid w:val="009F2EDE"/>
    <w:rsid w:val="009F307D"/>
    <w:rsid w:val="009F3203"/>
    <w:rsid w:val="009F3378"/>
    <w:rsid w:val="009F338A"/>
    <w:rsid w:val="009F3452"/>
    <w:rsid w:val="009F3CEA"/>
    <w:rsid w:val="009F3DB1"/>
    <w:rsid w:val="009F3E6A"/>
    <w:rsid w:val="009F3FBA"/>
    <w:rsid w:val="009F451C"/>
    <w:rsid w:val="009F51A3"/>
    <w:rsid w:val="009F51AB"/>
    <w:rsid w:val="009F5412"/>
    <w:rsid w:val="009F5707"/>
    <w:rsid w:val="009F57A1"/>
    <w:rsid w:val="009F5C46"/>
    <w:rsid w:val="009F5DFA"/>
    <w:rsid w:val="009F5DFB"/>
    <w:rsid w:val="009F5FEF"/>
    <w:rsid w:val="009F676F"/>
    <w:rsid w:val="009F70D1"/>
    <w:rsid w:val="009F7186"/>
    <w:rsid w:val="009F73C7"/>
    <w:rsid w:val="00A002D7"/>
    <w:rsid w:val="00A00397"/>
    <w:rsid w:val="00A00708"/>
    <w:rsid w:val="00A00746"/>
    <w:rsid w:val="00A01970"/>
    <w:rsid w:val="00A024EE"/>
    <w:rsid w:val="00A027AC"/>
    <w:rsid w:val="00A02876"/>
    <w:rsid w:val="00A02949"/>
    <w:rsid w:val="00A0336A"/>
    <w:rsid w:val="00A0397A"/>
    <w:rsid w:val="00A03CC7"/>
    <w:rsid w:val="00A04572"/>
    <w:rsid w:val="00A049CA"/>
    <w:rsid w:val="00A04A14"/>
    <w:rsid w:val="00A04A69"/>
    <w:rsid w:val="00A051A2"/>
    <w:rsid w:val="00A05299"/>
    <w:rsid w:val="00A05DB8"/>
    <w:rsid w:val="00A06F4A"/>
    <w:rsid w:val="00A0734C"/>
    <w:rsid w:val="00A1019E"/>
    <w:rsid w:val="00A1024D"/>
    <w:rsid w:val="00A10532"/>
    <w:rsid w:val="00A10982"/>
    <w:rsid w:val="00A11DEF"/>
    <w:rsid w:val="00A12908"/>
    <w:rsid w:val="00A1291C"/>
    <w:rsid w:val="00A12D5C"/>
    <w:rsid w:val="00A12E07"/>
    <w:rsid w:val="00A13C10"/>
    <w:rsid w:val="00A13E35"/>
    <w:rsid w:val="00A1406C"/>
    <w:rsid w:val="00A14111"/>
    <w:rsid w:val="00A14C4A"/>
    <w:rsid w:val="00A14CAD"/>
    <w:rsid w:val="00A14D22"/>
    <w:rsid w:val="00A14D91"/>
    <w:rsid w:val="00A1568C"/>
    <w:rsid w:val="00A15864"/>
    <w:rsid w:val="00A16F6D"/>
    <w:rsid w:val="00A1727B"/>
    <w:rsid w:val="00A1772A"/>
    <w:rsid w:val="00A17BDF"/>
    <w:rsid w:val="00A17E87"/>
    <w:rsid w:val="00A17FB8"/>
    <w:rsid w:val="00A202A1"/>
    <w:rsid w:val="00A205DD"/>
    <w:rsid w:val="00A207A4"/>
    <w:rsid w:val="00A20E7F"/>
    <w:rsid w:val="00A217C2"/>
    <w:rsid w:val="00A22004"/>
    <w:rsid w:val="00A22A98"/>
    <w:rsid w:val="00A23A41"/>
    <w:rsid w:val="00A23BD2"/>
    <w:rsid w:val="00A23D27"/>
    <w:rsid w:val="00A23E02"/>
    <w:rsid w:val="00A246EA"/>
    <w:rsid w:val="00A24990"/>
    <w:rsid w:val="00A2508D"/>
    <w:rsid w:val="00A250C8"/>
    <w:rsid w:val="00A252D0"/>
    <w:rsid w:val="00A255AC"/>
    <w:rsid w:val="00A25E07"/>
    <w:rsid w:val="00A262C1"/>
    <w:rsid w:val="00A26681"/>
    <w:rsid w:val="00A26A66"/>
    <w:rsid w:val="00A2761B"/>
    <w:rsid w:val="00A2789A"/>
    <w:rsid w:val="00A301DB"/>
    <w:rsid w:val="00A30768"/>
    <w:rsid w:val="00A30B09"/>
    <w:rsid w:val="00A30CB5"/>
    <w:rsid w:val="00A30EF9"/>
    <w:rsid w:val="00A3101D"/>
    <w:rsid w:val="00A3123B"/>
    <w:rsid w:val="00A3127F"/>
    <w:rsid w:val="00A31850"/>
    <w:rsid w:val="00A31AF5"/>
    <w:rsid w:val="00A31D57"/>
    <w:rsid w:val="00A31DF9"/>
    <w:rsid w:val="00A32595"/>
    <w:rsid w:val="00A329D9"/>
    <w:rsid w:val="00A329E6"/>
    <w:rsid w:val="00A33C55"/>
    <w:rsid w:val="00A33D33"/>
    <w:rsid w:val="00A33FE8"/>
    <w:rsid w:val="00A340E9"/>
    <w:rsid w:val="00A3425B"/>
    <w:rsid w:val="00A34464"/>
    <w:rsid w:val="00A347D5"/>
    <w:rsid w:val="00A34C56"/>
    <w:rsid w:val="00A37045"/>
    <w:rsid w:val="00A37179"/>
    <w:rsid w:val="00A37B8A"/>
    <w:rsid w:val="00A40FAB"/>
    <w:rsid w:val="00A41464"/>
    <w:rsid w:val="00A418B6"/>
    <w:rsid w:val="00A41E6C"/>
    <w:rsid w:val="00A41E7A"/>
    <w:rsid w:val="00A4200B"/>
    <w:rsid w:val="00A4203D"/>
    <w:rsid w:val="00A4204F"/>
    <w:rsid w:val="00A4223B"/>
    <w:rsid w:val="00A423ED"/>
    <w:rsid w:val="00A4263A"/>
    <w:rsid w:val="00A432A7"/>
    <w:rsid w:val="00A43D0C"/>
    <w:rsid w:val="00A43FED"/>
    <w:rsid w:val="00A443D1"/>
    <w:rsid w:val="00A44661"/>
    <w:rsid w:val="00A4536E"/>
    <w:rsid w:val="00A456FF"/>
    <w:rsid w:val="00A45ADC"/>
    <w:rsid w:val="00A4664D"/>
    <w:rsid w:val="00A4678C"/>
    <w:rsid w:val="00A469B8"/>
    <w:rsid w:val="00A46FBC"/>
    <w:rsid w:val="00A4717A"/>
    <w:rsid w:val="00A476CC"/>
    <w:rsid w:val="00A503EF"/>
    <w:rsid w:val="00A5048D"/>
    <w:rsid w:val="00A507D9"/>
    <w:rsid w:val="00A50C17"/>
    <w:rsid w:val="00A50E04"/>
    <w:rsid w:val="00A50E4A"/>
    <w:rsid w:val="00A51A97"/>
    <w:rsid w:val="00A51ABA"/>
    <w:rsid w:val="00A51E41"/>
    <w:rsid w:val="00A51FD8"/>
    <w:rsid w:val="00A5287F"/>
    <w:rsid w:val="00A529EA"/>
    <w:rsid w:val="00A530DA"/>
    <w:rsid w:val="00A53825"/>
    <w:rsid w:val="00A53DAA"/>
    <w:rsid w:val="00A53E1D"/>
    <w:rsid w:val="00A53E34"/>
    <w:rsid w:val="00A54215"/>
    <w:rsid w:val="00A546F7"/>
    <w:rsid w:val="00A557DF"/>
    <w:rsid w:val="00A55CC5"/>
    <w:rsid w:val="00A55EEC"/>
    <w:rsid w:val="00A55F3C"/>
    <w:rsid w:val="00A56976"/>
    <w:rsid w:val="00A56A8C"/>
    <w:rsid w:val="00A56E66"/>
    <w:rsid w:val="00A56F95"/>
    <w:rsid w:val="00A57F7D"/>
    <w:rsid w:val="00A6082F"/>
    <w:rsid w:val="00A60C0B"/>
    <w:rsid w:val="00A60FCA"/>
    <w:rsid w:val="00A61659"/>
    <w:rsid w:val="00A61794"/>
    <w:rsid w:val="00A61A3D"/>
    <w:rsid w:val="00A61CD7"/>
    <w:rsid w:val="00A61F65"/>
    <w:rsid w:val="00A62697"/>
    <w:rsid w:val="00A62AA9"/>
    <w:rsid w:val="00A62BE2"/>
    <w:rsid w:val="00A6324F"/>
    <w:rsid w:val="00A63810"/>
    <w:rsid w:val="00A6391A"/>
    <w:rsid w:val="00A63C30"/>
    <w:rsid w:val="00A63D97"/>
    <w:rsid w:val="00A63DB0"/>
    <w:rsid w:val="00A641B2"/>
    <w:rsid w:val="00A646E7"/>
    <w:rsid w:val="00A64E83"/>
    <w:rsid w:val="00A64F8E"/>
    <w:rsid w:val="00A65297"/>
    <w:rsid w:val="00A6556F"/>
    <w:rsid w:val="00A65877"/>
    <w:rsid w:val="00A65904"/>
    <w:rsid w:val="00A661FF"/>
    <w:rsid w:val="00A66952"/>
    <w:rsid w:val="00A66BE8"/>
    <w:rsid w:val="00A66BFC"/>
    <w:rsid w:val="00A66E10"/>
    <w:rsid w:val="00A673F2"/>
    <w:rsid w:val="00A676B0"/>
    <w:rsid w:val="00A67BE3"/>
    <w:rsid w:val="00A67BF4"/>
    <w:rsid w:val="00A704B1"/>
    <w:rsid w:val="00A705DD"/>
    <w:rsid w:val="00A70622"/>
    <w:rsid w:val="00A70A25"/>
    <w:rsid w:val="00A71506"/>
    <w:rsid w:val="00A71B67"/>
    <w:rsid w:val="00A71BDE"/>
    <w:rsid w:val="00A71E18"/>
    <w:rsid w:val="00A722A0"/>
    <w:rsid w:val="00A727C5"/>
    <w:rsid w:val="00A72A02"/>
    <w:rsid w:val="00A72C53"/>
    <w:rsid w:val="00A72C64"/>
    <w:rsid w:val="00A72F5C"/>
    <w:rsid w:val="00A72F6C"/>
    <w:rsid w:val="00A7323F"/>
    <w:rsid w:val="00A73349"/>
    <w:rsid w:val="00A744DD"/>
    <w:rsid w:val="00A745A4"/>
    <w:rsid w:val="00A74BF9"/>
    <w:rsid w:val="00A75244"/>
    <w:rsid w:val="00A75750"/>
    <w:rsid w:val="00A75C37"/>
    <w:rsid w:val="00A75FF4"/>
    <w:rsid w:val="00A76313"/>
    <w:rsid w:val="00A76B4A"/>
    <w:rsid w:val="00A77E2C"/>
    <w:rsid w:val="00A77E54"/>
    <w:rsid w:val="00A8020F"/>
    <w:rsid w:val="00A80716"/>
    <w:rsid w:val="00A80850"/>
    <w:rsid w:val="00A80853"/>
    <w:rsid w:val="00A80C10"/>
    <w:rsid w:val="00A80C8F"/>
    <w:rsid w:val="00A80D16"/>
    <w:rsid w:val="00A80D2D"/>
    <w:rsid w:val="00A80D8F"/>
    <w:rsid w:val="00A81014"/>
    <w:rsid w:val="00A81581"/>
    <w:rsid w:val="00A81737"/>
    <w:rsid w:val="00A8223D"/>
    <w:rsid w:val="00A8316F"/>
    <w:rsid w:val="00A83E9F"/>
    <w:rsid w:val="00A84045"/>
    <w:rsid w:val="00A843DC"/>
    <w:rsid w:val="00A84526"/>
    <w:rsid w:val="00A845A9"/>
    <w:rsid w:val="00A84746"/>
    <w:rsid w:val="00A848AE"/>
    <w:rsid w:val="00A8495B"/>
    <w:rsid w:val="00A849FB"/>
    <w:rsid w:val="00A84D3D"/>
    <w:rsid w:val="00A84DDB"/>
    <w:rsid w:val="00A85287"/>
    <w:rsid w:val="00A85CCF"/>
    <w:rsid w:val="00A86393"/>
    <w:rsid w:val="00A86830"/>
    <w:rsid w:val="00A870B2"/>
    <w:rsid w:val="00A870DA"/>
    <w:rsid w:val="00A9032A"/>
    <w:rsid w:val="00A9032B"/>
    <w:rsid w:val="00A9083F"/>
    <w:rsid w:val="00A909ED"/>
    <w:rsid w:val="00A91045"/>
    <w:rsid w:val="00A9151E"/>
    <w:rsid w:val="00A9187B"/>
    <w:rsid w:val="00A91D02"/>
    <w:rsid w:val="00A92371"/>
    <w:rsid w:val="00A9241D"/>
    <w:rsid w:val="00A92C82"/>
    <w:rsid w:val="00A92D91"/>
    <w:rsid w:val="00A930C5"/>
    <w:rsid w:val="00A9372B"/>
    <w:rsid w:val="00A93CEB"/>
    <w:rsid w:val="00A93DF4"/>
    <w:rsid w:val="00A9415A"/>
    <w:rsid w:val="00A9423E"/>
    <w:rsid w:val="00A953F7"/>
    <w:rsid w:val="00A95957"/>
    <w:rsid w:val="00A96909"/>
    <w:rsid w:val="00A96DCB"/>
    <w:rsid w:val="00A97202"/>
    <w:rsid w:val="00A9736C"/>
    <w:rsid w:val="00A978F8"/>
    <w:rsid w:val="00AA01A3"/>
    <w:rsid w:val="00AA0647"/>
    <w:rsid w:val="00AA070E"/>
    <w:rsid w:val="00AA0A64"/>
    <w:rsid w:val="00AA0EBD"/>
    <w:rsid w:val="00AA146B"/>
    <w:rsid w:val="00AA15A5"/>
    <w:rsid w:val="00AA170D"/>
    <w:rsid w:val="00AA19D9"/>
    <w:rsid w:val="00AA206E"/>
    <w:rsid w:val="00AA2704"/>
    <w:rsid w:val="00AA3325"/>
    <w:rsid w:val="00AA33CE"/>
    <w:rsid w:val="00AA372A"/>
    <w:rsid w:val="00AA3BD6"/>
    <w:rsid w:val="00AA5682"/>
    <w:rsid w:val="00AA60A1"/>
    <w:rsid w:val="00AA6342"/>
    <w:rsid w:val="00AA6831"/>
    <w:rsid w:val="00AA6960"/>
    <w:rsid w:val="00AA6A43"/>
    <w:rsid w:val="00AA720D"/>
    <w:rsid w:val="00AA74CD"/>
    <w:rsid w:val="00AA7986"/>
    <w:rsid w:val="00AA7B5D"/>
    <w:rsid w:val="00AA7D03"/>
    <w:rsid w:val="00AA7EAA"/>
    <w:rsid w:val="00AB00F1"/>
    <w:rsid w:val="00AB08E0"/>
    <w:rsid w:val="00AB113B"/>
    <w:rsid w:val="00AB1559"/>
    <w:rsid w:val="00AB1D4F"/>
    <w:rsid w:val="00AB2EFF"/>
    <w:rsid w:val="00AB32EB"/>
    <w:rsid w:val="00AB3413"/>
    <w:rsid w:val="00AB41AD"/>
    <w:rsid w:val="00AB4540"/>
    <w:rsid w:val="00AB47ED"/>
    <w:rsid w:val="00AB5166"/>
    <w:rsid w:val="00AB53F2"/>
    <w:rsid w:val="00AB54F3"/>
    <w:rsid w:val="00AB58F1"/>
    <w:rsid w:val="00AB64D5"/>
    <w:rsid w:val="00AB7581"/>
    <w:rsid w:val="00AB76C3"/>
    <w:rsid w:val="00AB7B41"/>
    <w:rsid w:val="00AB7C81"/>
    <w:rsid w:val="00AB7FDF"/>
    <w:rsid w:val="00AC097C"/>
    <w:rsid w:val="00AC0EE2"/>
    <w:rsid w:val="00AC11E6"/>
    <w:rsid w:val="00AC23FA"/>
    <w:rsid w:val="00AC2573"/>
    <w:rsid w:val="00AC26E9"/>
    <w:rsid w:val="00AC27C3"/>
    <w:rsid w:val="00AC27D4"/>
    <w:rsid w:val="00AC29BB"/>
    <w:rsid w:val="00AC2A05"/>
    <w:rsid w:val="00AC2B23"/>
    <w:rsid w:val="00AC2D89"/>
    <w:rsid w:val="00AC2E18"/>
    <w:rsid w:val="00AC2EDD"/>
    <w:rsid w:val="00AC3E01"/>
    <w:rsid w:val="00AC4430"/>
    <w:rsid w:val="00AC44DD"/>
    <w:rsid w:val="00AC46E2"/>
    <w:rsid w:val="00AC4988"/>
    <w:rsid w:val="00AC5134"/>
    <w:rsid w:val="00AC54BE"/>
    <w:rsid w:val="00AC5906"/>
    <w:rsid w:val="00AC5AF7"/>
    <w:rsid w:val="00AC6329"/>
    <w:rsid w:val="00AC6594"/>
    <w:rsid w:val="00AC65D7"/>
    <w:rsid w:val="00AC6691"/>
    <w:rsid w:val="00AC6C00"/>
    <w:rsid w:val="00AC6C60"/>
    <w:rsid w:val="00AC7065"/>
    <w:rsid w:val="00AC73BE"/>
    <w:rsid w:val="00AC7C09"/>
    <w:rsid w:val="00AC7F54"/>
    <w:rsid w:val="00AD02E3"/>
    <w:rsid w:val="00AD0912"/>
    <w:rsid w:val="00AD10BC"/>
    <w:rsid w:val="00AD19A5"/>
    <w:rsid w:val="00AD1C65"/>
    <w:rsid w:val="00AD2245"/>
    <w:rsid w:val="00AD2B75"/>
    <w:rsid w:val="00AD36C8"/>
    <w:rsid w:val="00AD402A"/>
    <w:rsid w:val="00AD40E8"/>
    <w:rsid w:val="00AD4F82"/>
    <w:rsid w:val="00AD5211"/>
    <w:rsid w:val="00AD5457"/>
    <w:rsid w:val="00AD55C5"/>
    <w:rsid w:val="00AD6009"/>
    <w:rsid w:val="00AD6728"/>
    <w:rsid w:val="00AD67AF"/>
    <w:rsid w:val="00AD70F3"/>
    <w:rsid w:val="00AD722F"/>
    <w:rsid w:val="00AD76F8"/>
    <w:rsid w:val="00AD7826"/>
    <w:rsid w:val="00AD7BA1"/>
    <w:rsid w:val="00AD7FC7"/>
    <w:rsid w:val="00AE0080"/>
    <w:rsid w:val="00AE0A5D"/>
    <w:rsid w:val="00AE0C73"/>
    <w:rsid w:val="00AE0D44"/>
    <w:rsid w:val="00AE112F"/>
    <w:rsid w:val="00AE13F5"/>
    <w:rsid w:val="00AE2485"/>
    <w:rsid w:val="00AE2788"/>
    <w:rsid w:val="00AE2847"/>
    <w:rsid w:val="00AE28F5"/>
    <w:rsid w:val="00AE2C30"/>
    <w:rsid w:val="00AE3348"/>
    <w:rsid w:val="00AE34DE"/>
    <w:rsid w:val="00AE36D0"/>
    <w:rsid w:val="00AE392E"/>
    <w:rsid w:val="00AE3C06"/>
    <w:rsid w:val="00AE4FEF"/>
    <w:rsid w:val="00AE52F9"/>
    <w:rsid w:val="00AE58DE"/>
    <w:rsid w:val="00AE59C6"/>
    <w:rsid w:val="00AE5BB5"/>
    <w:rsid w:val="00AE5DCC"/>
    <w:rsid w:val="00AE653B"/>
    <w:rsid w:val="00AE6CA4"/>
    <w:rsid w:val="00AE782B"/>
    <w:rsid w:val="00AE7AE4"/>
    <w:rsid w:val="00AF0055"/>
    <w:rsid w:val="00AF060B"/>
    <w:rsid w:val="00AF141B"/>
    <w:rsid w:val="00AF1499"/>
    <w:rsid w:val="00AF18D3"/>
    <w:rsid w:val="00AF1E31"/>
    <w:rsid w:val="00AF1E7B"/>
    <w:rsid w:val="00AF1EE9"/>
    <w:rsid w:val="00AF2297"/>
    <w:rsid w:val="00AF2933"/>
    <w:rsid w:val="00AF39FD"/>
    <w:rsid w:val="00AF3AD2"/>
    <w:rsid w:val="00AF3D63"/>
    <w:rsid w:val="00AF3F30"/>
    <w:rsid w:val="00AF430B"/>
    <w:rsid w:val="00AF46B6"/>
    <w:rsid w:val="00AF4BFF"/>
    <w:rsid w:val="00AF4E15"/>
    <w:rsid w:val="00AF4FB5"/>
    <w:rsid w:val="00AF5160"/>
    <w:rsid w:val="00AF5B50"/>
    <w:rsid w:val="00AF6727"/>
    <w:rsid w:val="00AF6880"/>
    <w:rsid w:val="00AF741B"/>
    <w:rsid w:val="00AF790F"/>
    <w:rsid w:val="00AF796D"/>
    <w:rsid w:val="00AF7A09"/>
    <w:rsid w:val="00AF7CA4"/>
    <w:rsid w:val="00B00246"/>
    <w:rsid w:val="00B00FCD"/>
    <w:rsid w:val="00B0149F"/>
    <w:rsid w:val="00B01750"/>
    <w:rsid w:val="00B025F0"/>
    <w:rsid w:val="00B033AD"/>
    <w:rsid w:val="00B03B6C"/>
    <w:rsid w:val="00B03DD3"/>
    <w:rsid w:val="00B0417D"/>
    <w:rsid w:val="00B0456A"/>
    <w:rsid w:val="00B045C7"/>
    <w:rsid w:val="00B04A23"/>
    <w:rsid w:val="00B0526D"/>
    <w:rsid w:val="00B0563D"/>
    <w:rsid w:val="00B05705"/>
    <w:rsid w:val="00B059C7"/>
    <w:rsid w:val="00B05B64"/>
    <w:rsid w:val="00B06080"/>
    <w:rsid w:val="00B06574"/>
    <w:rsid w:val="00B0676C"/>
    <w:rsid w:val="00B06DEC"/>
    <w:rsid w:val="00B06EE8"/>
    <w:rsid w:val="00B10461"/>
    <w:rsid w:val="00B10653"/>
    <w:rsid w:val="00B10A6D"/>
    <w:rsid w:val="00B10B63"/>
    <w:rsid w:val="00B11262"/>
    <w:rsid w:val="00B112BA"/>
    <w:rsid w:val="00B1156D"/>
    <w:rsid w:val="00B11643"/>
    <w:rsid w:val="00B11B96"/>
    <w:rsid w:val="00B11DED"/>
    <w:rsid w:val="00B11ED9"/>
    <w:rsid w:val="00B12548"/>
    <w:rsid w:val="00B12B13"/>
    <w:rsid w:val="00B12DAC"/>
    <w:rsid w:val="00B13451"/>
    <w:rsid w:val="00B13546"/>
    <w:rsid w:val="00B13655"/>
    <w:rsid w:val="00B13772"/>
    <w:rsid w:val="00B13C56"/>
    <w:rsid w:val="00B13CFD"/>
    <w:rsid w:val="00B14048"/>
    <w:rsid w:val="00B1407D"/>
    <w:rsid w:val="00B14255"/>
    <w:rsid w:val="00B147CE"/>
    <w:rsid w:val="00B14C01"/>
    <w:rsid w:val="00B14D20"/>
    <w:rsid w:val="00B159EA"/>
    <w:rsid w:val="00B15BF5"/>
    <w:rsid w:val="00B15D6D"/>
    <w:rsid w:val="00B16112"/>
    <w:rsid w:val="00B16793"/>
    <w:rsid w:val="00B16938"/>
    <w:rsid w:val="00B16A59"/>
    <w:rsid w:val="00B16BE5"/>
    <w:rsid w:val="00B16C97"/>
    <w:rsid w:val="00B1721E"/>
    <w:rsid w:val="00B177C6"/>
    <w:rsid w:val="00B17D48"/>
    <w:rsid w:val="00B17DE1"/>
    <w:rsid w:val="00B17E90"/>
    <w:rsid w:val="00B17FE4"/>
    <w:rsid w:val="00B20205"/>
    <w:rsid w:val="00B20609"/>
    <w:rsid w:val="00B2069C"/>
    <w:rsid w:val="00B210B3"/>
    <w:rsid w:val="00B2184E"/>
    <w:rsid w:val="00B21D14"/>
    <w:rsid w:val="00B21DC9"/>
    <w:rsid w:val="00B22A0A"/>
    <w:rsid w:val="00B2361A"/>
    <w:rsid w:val="00B23AE6"/>
    <w:rsid w:val="00B23EB2"/>
    <w:rsid w:val="00B240B7"/>
    <w:rsid w:val="00B24569"/>
    <w:rsid w:val="00B246B7"/>
    <w:rsid w:val="00B247B0"/>
    <w:rsid w:val="00B254B8"/>
    <w:rsid w:val="00B25A07"/>
    <w:rsid w:val="00B25AB5"/>
    <w:rsid w:val="00B25E3C"/>
    <w:rsid w:val="00B26167"/>
    <w:rsid w:val="00B26844"/>
    <w:rsid w:val="00B26EFC"/>
    <w:rsid w:val="00B27294"/>
    <w:rsid w:val="00B276B5"/>
    <w:rsid w:val="00B27820"/>
    <w:rsid w:val="00B27D06"/>
    <w:rsid w:val="00B30103"/>
    <w:rsid w:val="00B308EB"/>
    <w:rsid w:val="00B31F74"/>
    <w:rsid w:val="00B321BF"/>
    <w:rsid w:val="00B32529"/>
    <w:rsid w:val="00B3289A"/>
    <w:rsid w:val="00B32ADD"/>
    <w:rsid w:val="00B32BE9"/>
    <w:rsid w:val="00B3329B"/>
    <w:rsid w:val="00B33918"/>
    <w:rsid w:val="00B33A6B"/>
    <w:rsid w:val="00B33D14"/>
    <w:rsid w:val="00B350C7"/>
    <w:rsid w:val="00B35199"/>
    <w:rsid w:val="00B35801"/>
    <w:rsid w:val="00B35C6C"/>
    <w:rsid w:val="00B35DDE"/>
    <w:rsid w:val="00B360EA"/>
    <w:rsid w:val="00B364AF"/>
    <w:rsid w:val="00B36AC1"/>
    <w:rsid w:val="00B37634"/>
    <w:rsid w:val="00B37A7D"/>
    <w:rsid w:val="00B37DF9"/>
    <w:rsid w:val="00B37E51"/>
    <w:rsid w:val="00B37E73"/>
    <w:rsid w:val="00B37ECA"/>
    <w:rsid w:val="00B37F96"/>
    <w:rsid w:val="00B37FDB"/>
    <w:rsid w:val="00B40815"/>
    <w:rsid w:val="00B40880"/>
    <w:rsid w:val="00B4120A"/>
    <w:rsid w:val="00B41475"/>
    <w:rsid w:val="00B4161E"/>
    <w:rsid w:val="00B419E7"/>
    <w:rsid w:val="00B41F07"/>
    <w:rsid w:val="00B42734"/>
    <w:rsid w:val="00B42C7D"/>
    <w:rsid w:val="00B4361B"/>
    <w:rsid w:val="00B43813"/>
    <w:rsid w:val="00B43AD1"/>
    <w:rsid w:val="00B43BB5"/>
    <w:rsid w:val="00B444C8"/>
    <w:rsid w:val="00B44858"/>
    <w:rsid w:val="00B454D2"/>
    <w:rsid w:val="00B455F3"/>
    <w:rsid w:val="00B458FE"/>
    <w:rsid w:val="00B45E8C"/>
    <w:rsid w:val="00B45FC1"/>
    <w:rsid w:val="00B46606"/>
    <w:rsid w:val="00B466EB"/>
    <w:rsid w:val="00B46E7C"/>
    <w:rsid w:val="00B47336"/>
    <w:rsid w:val="00B474D8"/>
    <w:rsid w:val="00B47B06"/>
    <w:rsid w:val="00B50024"/>
    <w:rsid w:val="00B507E0"/>
    <w:rsid w:val="00B50802"/>
    <w:rsid w:val="00B5169C"/>
    <w:rsid w:val="00B51B7F"/>
    <w:rsid w:val="00B520D0"/>
    <w:rsid w:val="00B52EBA"/>
    <w:rsid w:val="00B52F7F"/>
    <w:rsid w:val="00B53054"/>
    <w:rsid w:val="00B530E5"/>
    <w:rsid w:val="00B543FF"/>
    <w:rsid w:val="00B552FE"/>
    <w:rsid w:val="00B555BE"/>
    <w:rsid w:val="00B55746"/>
    <w:rsid w:val="00B5689A"/>
    <w:rsid w:val="00B5752B"/>
    <w:rsid w:val="00B57545"/>
    <w:rsid w:val="00B57573"/>
    <w:rsid w:val="00B57A53"/>
    <w:rsid w:val="00B57CD1"/>
    <w:rsid w:val="00B601DE"/>
    <w:rsid w:val="00B602BE"/>
    <w:rsid w:val="00B605A3"/>
    <w:rsid w:val="00B61B0A"/>
    <w:rsid w:val="00B61F12"/>
    <w:rsid w:val="00B62248"/>
    <w:rsid w:val="00B62421"/>
    <w:rsid w:val="00B62988"/>
    <w:rsid w:val="00B629E7"/>
    <w:rsid w:val="00B63078"/>
    <w:rsid w:val="00B63B2A"/>
    <w:rsid w:val="00B64173"/>
    <w:rsid w:val="00B64287"/>
    <w:rsid w:val="00B642A9"/>
    <w:rsid w:val="00B64685"/>
    <w:rsid w:val="00B64A7F"/>
    <w:rsid w:val="00B6516D"/>
    <w:rsid w:val="00B6580A"/>
    <w:rsid w:val="00B65E44"/>
    <w:rsid w:val="00B65FC7"/>
    <w:rsid w:val="00B6624E"/>
    <w:rsid w:val="00B66463"/>
    <w:rsid w:val="00B66680"/>
    <w:rsid w:val="00B67630"/>
    <w:rsid w:val="00B67BF5"/>
    <w:rsid w:val="00B705DA"/>
    <w:rsid w:val="00B705F9"/>
    <w:rsid w:val="00B70998"/>
    <w:rsid w:val="00B70B0D"/>
    <w:rsid w:val="00B71028"/>
    <w:rsid w:val="00B7136B"/>
    <w:rsid w:val="00B71544"/>
    <w:rsid w:val="00B718EF"/>
    <w:rsid w:val="00B71B07"/>
    <w:rsid w:val="00B71EF4"/>
    <w:rsid w:val="00B72CE5"/>
    <w:rsid w:val="00B72F80"/>
    <w:rsid w:val="00B733E0"/>
    <w:rsid w:val="00B734CB"/>
    <w:rsid w:val="00B73678"/>
    <w:rsid w:val="00B73968"/>
    <w:rsid w:val="00B73A65"/>
    <w:rsid w:val="00B73A92"/>
    <w:rsid w:val="00B73B5A"/>
    <w:rsid w:val="00B73C85"/>
    <w:rsid w:val="00B73E58"/>
    <w:rsid w:val="00B73EA1"/>
    <w:rsid w:val="00B747C7"/>
    <w:rsid w:val="00B758A3"/>
    <w:rsid w:val="00B75B6E"/>
    <w:rsid w:val="00B76124"/>
    <w:rsid w:val="00B7628F"/>
    <w:rsid w:val="00B76D96"/>
    <w:rsid w:val="00B76DBD"/>
    <w:rsid w:val="00B77116"/>
    <w:rsid w:val="00B773BC"/>
    <w:rsid w:val="00B77AC4"/>
    <w:rsid w:val="00B81AE0"/>
    <w:rsid w:val="00B8222D"/>
    <w:rsid w:val="00B82730"/>
    <w:rsid w:val="00B82B30"/>
    <w:rsid w:val="00B83036"/>
    <w:rsid w:val="00B83BBB"/>
    <w:rsid w:val="00B84146"/>
    <w:rsid w:val="00B84B0C"/>
    <w:rsid w:val="00B84DF7"/>
    <w:rsid w:val="00B8531C"/>
    <w:rsid w:val="00B85D29"/>
    <w:rsid w:val="00B8693D"/>
    <w:rsid w:val="00B87025"/>
    <w:rsid w:val="00B87399"/>
    <w:rsid w:val="00B879E9"/>
    <w:rsid w:val="00B9069C"/>
    <w:rsid w:val="00B90B86"/>
    <w:rsid w:val="00B90D47"/>
    <w:rsid w:val="00B90FA9"/>
    <w:rsid w:val="00B912AE"/>
    <w:rsid w:val="00B91398"/>
    <w:rsid w:val="00B916B1"/>
    <w:rsid w:val="00B92046"/>
    <w:rsid w:val="00B925C0"/>
    <w:rsid w:val="00B92B4D"/>
    <w:rsid w:val="00B92FC4"/>
    <w:rsid w:val="00B9390A"/>
    <w:rsid w:val="00B94226"/>
    <w:rsid w:val="00B94A06"/>
    <w:rsid w:val="00B94EB3"/>
    <w:rsid w:val="00B94FE7"/>
    <w:rsid w:val="00B95BEB"/>
    <w:rsid w:val="00B96028"/>
    <w:rsid w:val="00B964BA"/>
    <w:rsid w:val="00B9669F"/>
    <w:rsid w:val="00B96CAC"/>
    <w:rsid w:val="00B96DBC"/>
    <w:rsid w:val="00B96E6A"/>
    <w:rsid w:val="00B9745B"/>
    <w:rsid w:val="00B974B2"/>
    <w:rsid w:val="00B97A31"/>
    <w:rsid w:val="00B97E98"/>
    <w:rsid w:val="00BA12CC"/>
    <w:rsid w:val="00BA190E"/>
    <w:rsid w:val="00BA19EC"/>
    <w:rsid w:val="00BA1D30"/>
    <w:rsid w:val="00BA208A"/>
    <w:rsid w:val="00BA2604"/>
    <w:rsid w:val="00BA26FE"/>
    <w:rsid w:val="00BA2B5C"/>
    <w:rsid w:val="00BA3469"/>
    <w:rsid w:val="00BA3565"/>
    <w:rsid w:val="00BA35FC"/>
    <w:rsid w:val="00BA37E3"/>
    <w:rsid w:val="00BA38FF"/>
    <w:rsid w:val="00BA46D0"/>
    <w:rsid w:val="00BA493E"/>
    <w:rsid w:val="00BA4D0C"/>
    <w:rsid w:val="00BA4EDD"/>
    <w:rsid w:val="00BA4FF9"/>
    <w:rsid w:val="00BA5858"/>
    <w:rsid w:val="00BA5D4A"/>
    <w:rsid w:val="00BA6037"/>
    <w:rsid w:val="00BA634D"/>
    <w:rsid w:val="00BA65D5"/>
    <w:rsid w:val="00BA669E"/>
    <w:rsid w:val="00BA6BFC"/>
    <w:rsid w:val="00BA6D34"/>
    <w:rsid w:val="00BA7228"/>
    <w:rsid w:val="00BA764B"/>
    <w:rsid w:val="00BA7723"/>
    <w:rsid w:val="00BA77C3"/>
    <w:rsid w:val="00BA77DF"/>
    <w:rsid w:val="00BA77E5"/>
    <w:rsid w:val="00BA7E5D"/>
    <w:rsid w:val="00BA7F87"/>
    <w:rsid w:val="00BB0527"/>
    <w:rsid w:val="00BB0684"/>
    <w:rsid w:val="00BB0DC7"/>
    <w:rsid w:val="00BB0E92"/>
    <w:rsid w:val="00BB16C4"/>
    <w:rsid w:val="00BB17BE"/>
    <w:rsid w:val="00BB20D8"/>
    <w:rsid w:val="00BB3243"/>
    <w:rsid w:val="00BB4172"/>
    <w:rsid w:val="00BB4B2F"/>
    <w:rsid w:val="00BB4E30"/>
    <w:rsid w:val="00BB5285"/>
    <w:rsid w:val="00BB5401"/>
    <w:rsid w:val="00BB57CF"/>
    <w:rsid w:val="00BB57F2"/>
    <w:rsid w:val="00BB6B5A"/>
    <w:rsid w:val="00BB7362"/>
    <w:rsid w:val="00BC0A4C"/>
    <w:rsid w:val="00BC0E25"/>
    <w:rsid w:val="00BC2269"/>
    <w:rsid w:val="00BC27BF"/>
    <w:rsid w:val="00BC2A97"/>
    <w:rsid w:val="00BC3B2E"/>
    <w:rsid w:val="00BC46E2"/>
    <w:rsid w:val="00BC4EA2"/>
    <w:rsid w:val="00BC521D"/>
    <w:rsid w:val="00BC5610"/>
    <w:rsid w:val="00BC567C"/>
    <w:rsid w:val="00BC5722"/>
    <w:rsid w:val="00BC596A"/>
    <w:rsid w:val="00BC5A75"/>
    <w:rsid w:val="00BC61F4"/>
    <w:rsid w:val="00BC646A"/>
    <w:rsid w:val="00BC7113"/>
    <w:rsid w:val="00BC712E"/>
    <w:rsid w:val="00BC7278"/>
    <w:rsid w:val="00BC76FF"/>
    <w:rsid w:val="00BC78DF"/>
    <w:rsid w:val="00BC7963"/>
    <w:rsid w:val="00BD0347"/>
    <w:rsid w:val="00BD0631"/>
    <w:rsid w:val="00BD0892"/>
    <w:rsid w:val="00BD0900"/>
    <w:rsid w:val="00BD0BC1"/>
    <w:rsid w:val="00BD0DE9"/>
    <w:rsid w:val="00BD260E"/>
    <w:rsid w:val="00BD287A"/>
    <w:rsid w:val="00BD2A07"/>
    <w:rsid w:val="00BD2E6C"/>
    <w:rsid w:val="00BD3137"/>
    <w:rsid w:val="00BD379A"/>
    <w:rsid w:val="00BD3993"/>
    <w:rsid w:val="00BD3F49"/>
    <w:rsid w:val="00BD4096"/>
    <w:rsid w:val="00BD45C4"/>
    <w:rsid w:val="00BD47E1"/>
    <w:rsid w:val="00BD4A9F"/>
    <w:rsid w:val="00BD5887"/>
    <w:rsid w:val="00BD5B8D"/>
    <w:rsid w:val="00BD6BDC"/>
    <w:rsid w:val="00BD6CC4"/>
    <w:rsid w:val="00BD70B1"/>
    <w:rsid w:val="00BD7924"/>
    <w:rsid w:val="00BD7930"/>
    <w:rsid w:val="00BD7DB4"/>
    <w:rsid w:val="00BE08F1"/>
    <w:rsid w:val="00BE13B5"/>
    <w:rsid w:val="00BE141D"/>
    <w:rsid w:val="00BE29FB"/>
    <w:rsid w:val="00BE3246"/>
    <w:rsid w:val="00BE3496"/>
    <w:rsid w:val="00BE3959"/>
    <w:rsid w:val="00BE3CA0"/>
    <w:rsid w:val="00BE3E09"/>
    <w:rsid w:val="00BE40EC"/>
    <w:rsid w:val="00BE418E"/>
    <w:rsid w:val="00BE4A60"/>
    <w:rsid w:val="00BE4AA8"/>
    <w:rsid w:val="00BE4CAF"/>
    <w:rsid w:val="00BE5371"/>
    <w:rsid w:val="00BE567D"/>
    <w:rsid w:val="00BE5982"/>
    <w:rsid w:val="00BE64AE"/>
    <w:rsid w:val="00BE685F"/>
    <w:rsid w:val="00BE6B1E"/>
    <w:rsid w:val="00BE7240"/>
    <w:rsid w:val="00BE7395"/>
    <w:rsid w:val="00BE758E"/>
    <w:rsid w:val="00BE75DE"/>
    <w:rsid w:val="00BE766A"/>
    <w:rsid w:val="00BE792D"/>
    <w:rsid w:val="00BE7BA0"/>
    <w:rsid w:val="00BF05CD"/>
    <w:rsid w:val="00BF07CE"/>
    <w:rsid w:val="00BF082B"/>
    <w:rsid w:val="00BF0A92"/>
    <w:rsid w:val="00BF10E0"/>
    <w:rsid w:val="00BF16B3"/>
    <w:rsid w:val="00BF185A"/>
    <w:rsid w:val="00BF2D54"/>
    <w:rsid w:val="00BF31DF"/>
    <w:rsid w:val="00BF3AE6"/>
    <w:rsid w:val="00BF48DD"/>
    <w:rsid w:val="00BF4F8C"/>
    <w:rsid w:val="00BF535C"/>
    <w:rsid w:val="00BF5560"/>
    <w:rsid w:val="00BF5746"/>
    <w:rsid w:val="00BF5AA8"/>
    <w:rsid w:val="00BF5B66"/>
    <w:rsid w:val="00BF6FCC"/>
    <w:rsid w:val="00BF739D"/>
    <w:rsid w:val="00BF77BF"/>
    <w:rsid w:val="00BF78F2"/>
    <w:rsid w:val="00BF7E0B"/>
    <w:rsid w:val="00BF7F82"/>
    <w:rsid w:val="00C00CB0"/>
    <w:rsid w:val="00C00DA1"/>
    <w:rsid w:val="00C00E44"/>
    <w:rsid w:val="00C01B79"/>
    <w:rsid w:val="00C01D72"/>
    <w:rsid w:val="00C02B95"/>
    <w:rsid w:val="00C02DEB"/>
    <w:rsid w:val="00C02FC0"/>
    <w:rsid w:val="00C03103"/>
    <w:rsid w:val="00C0362D"/>
    <w:rsid w:val="00C03E85"/>
    <w:rsid w:val="00C03EF2"/>
    <w:rsid w:val="00C0414E"/>
    <w:rsid w:val="00C0428C"/>
    <w:rsid w:val="00C047C5"/>
    <w:rsid w:val="00C04B21"/>
    <w:rsid w:val="00C04F5D"/>
    <w:rsid w:val="00C0587B"/>
    <w:rsid w:val="00C05C0F"/>
    <w:rsid w:val="00C065B2"/>
    <w:rsid w:val="00C0666B"/>
    <w:rsid w:val="00C06D64"/>
    <w:rsid w:val="00C06F03"/>
    <w:rsid w:val="00C06FD3"/>
    <w:rsid w:val="00C07473"/>
    <w:rsid w:val="00C07728"/>
    <w:rsid w:val="00C07945"/>
    <w:rsid w:val="00C07F0C"/>
    <w:rsid w:val="00C07F60"/>
    <w:rsid w:val="00C10280"/>
    <w:rsid w:val="00C10A1E"/>
    <w:rsid w:val="00C10A3E"/>
    <w:rsid w:val="00C10A9F"/>
    <w:rsid w:val="00C10DFA"/>
    <w:rsid w:val="00C10E6F"/>
    <w:rsid w:val="00C11067"/>
    <w:rsid w:val="00C11280"/>
    <w:rsid w:val="00C11D27"/>
    <w:rsid w:val="00C11F32"/>
    <w:rsid w:val="00C1221B"/>
    <w:rsid w:val="00C12528"/>
    <w:rsid w:val="00C12A64"/>
    <w:rsid w:val="00C12D00"/>
    <w:rsid w:val="00C138DC"/>
    <w:rsid w:val="00C14163"/>
    <w:rsid w:val="00C14B19"/>
    <w:rsid w:val="00C14BC6"/>
    <w:rsid w:val="00C14F25"/>
    <w:rsid w:val="00C151C1"/>
    <w:rsid w:val="00C15C69"/>
    <w:rsid w:val="00C1610B"/>
    <w:rsid w:val="00C16150"/>
    <w:rsid w:val="00C164FB"/>
    <w:rsid w:val="00C16A47"/>
    <w:rsid w:val="00C16A8C"/>
    <w:rsid w:val="00C16C65"/>
    <w:rsid w:val="00C1701F"/>
    <w:rsid w:val="00C17452"/>
    <w:rsid w:val="00C20A8C"/>
    <w:rsid w:val="00C20D51"/>
    <w:rsid w:val="00C21295"/>
    <w:rsid w:val="00C216FF"/>
    <w:rsid w:val="00C21DF8"/>
    <w:rsid w:val="00C22008"/>
    <w:rsid w:val="00C22142"/>
    <w:rsid w:val="00C22E8D"/>
    <w:rsid w:val="00C22F46"/>
    <w:rsid w:val="00C22FF7"/>
    <w:rsid w:val="00C2343D"/>
    <w:rsid w:val="00C2377A"/>
    <w:rsid w:val="00C2392E"/>
    <w:rsid w:val="00C23FAF"/>
    <w:rsid w:val="00C244BC"/>
    <w:rsid w:val="00C24B24"/>
    <w:rsid w:val="00C24C19"/>
    <w:rsid w:val="00C25149"/>
    <w:rsid w:val="00C25368"/>
    <w:rsid w:val="00C2599F"/>
    <w:rsid w:val="00C2650A"/>
    <w:rsid w:val="00C265D6"/>
    <w:rsid w:val="00C27A85"/>
    <w:rsid w:val="00C27ED3"/>
    <w:rsid w:val="00C30048"/>
    <w:rsid w:val="00C30099"/>
    <w:rsid w:val="00C305A5"/>
    <w:rsid w:val="00C3086E"/>
    <w:rsid w:val="00C30AA9"/>
    <w:rsid w:val="00C30B69"/>
    <w:rsid w:val="00C30C08"/>
    <w:rsid w:val="00C30DAE"/>
    <w:rsid w:val="00C30F31"/>
    <w:rsid w:val="00C31085"/>
    <w:rsid w:val="00C3206D"/>
    <w:rsid w:val="00C32089"/>
    <w:rsid w:val="00C32172"/>
    <w:rsid w:val="00C32898"/>
    <w:rsid w:val="00C329BB"/>
    <w:rsid w:val="00C329DC"/>
    <w:rsid w:val="00C32D8A"/>
    <w:rsid w:val="00C32FEA"/>
    <w:rsid w:val="00C33048"/>
    <w:rsid w:val="00C3331D"/>
    <w:rsid w:val="00C33557"/>
    <w:rsid w:val="00C33C0B"/>
    <w:rsid w:val="00C33C9E"/>
    <w:rsid w:val="00C344F9"/>
    <w:rsid w:val="00C3468A"/>
    <w:rsid w:val="00C34EEE"/>
    <w:rsid w:val="00C34F61"/>
    <w:rsid w:val="00C3507F"/>
    <w:rsid w:val="00C35474"/>
    <w:rsid w:val="00C35C2A"/>
    <w:rsid w:val="00C363C1"/>
    <w:rsid w:val="00C36739"/>
    <w:rsid w:val="00C36ACE"/>
    <w:rsid w:val="00C372D5"/>
    <w:rsid w:val="00C37504"/>
    <w:rsid w:val="00C403FD"/>
    <w:rsid w:val="00C40994"/>
    <w:rsid w:val="00C40D69"/>
    <w:rsid w:val="00C40FA2"/>
    <w:rsid w:val="00C40FEC"/>
    <w:rsid w:val="00C4124D"/>
    <w:rsid w:val="00C41575"/>
    <w:rsid w:val="00C41773"/>
    <w:rsid w:val="00C4181C"/>
    <w:rsid w:val="00C41F1A"/>
    <w:rsid w:val="00C4265A"/>
    <w:rsid w:val="00C42A04"/>
    <w:rsid w:val="00C42D4C"/>
    <w:rsid w:val="00C42D4D"/>
    <w:rsid w:val="00C42F0C"/>
    <w:rsid w:val="00C431AE"/>
    <w:rsid w:val="00C436F2"/>
    <w:rsid w:val="00C44943"/>
    <w:rsid w:val="00C44F3C"/>
    <w:rsid w:val="00C451AF"/>
    <w:rsid w:val="00C454B3"/>
    <w:rsid w:val="00C45CAC"/>
    <w:rsid w:val="00C500B5"/>
    <w:rsid w:val="00C5084E"/>
    <w:rsid w:val="00C51079"/>
    <w:rsid w:val="00C51260"/>
    <w:rsid w:val="00C52F42"/>
    <w:rsid w:val="00C5345A"/>
    <w:rsid w:val="00C53CC2"/>
    <w:rsid w:val="00C53FAE"/>
    <w:rsid w:val="00C5405B"/>
    <w:rsid w:val="00C54249"/>
    <w:rsid w:val="00C54912"/>
    <w:rsid w:val="00C54B63"/>
    <w:rsid w:val="00C55111"/>
    <w:rsid w:val="00C555C0"/>
    <w:rsid w:val="00C55772"/>
    <w:rsid w:val="00C55842"/>
    <w:rsid w:val="00C559E8"/>
    <w:rsid w:val="00C561ED"/>
    <w:rsid w:val="00C56664"/>
    <w:rsid w:val="00C56A23"/>
    <w:rsid w:val="00C56A31"/>
    <w:rsid w:val="00C60086"/>
    <w:rsid w:val="00C60094"/>
    <w:rsid w:val="00C60447"/>
    <w:rsid w:val="00C6099E"/>
    <w:rsid w:val="00C60A07"/>
    <w:rsid w:val="00C61949"/>
    <w:rsid w:val="00C61951"/>
    <w:rsid w:val="00C61C05"/>
    <w:rsid w:val="00C61C3F"/>
    <w:rsid w:val="00C61CC9"/>
    <w:rsid w:val="00C61E10"/>
    <w:rsid w:val="00C61E30"/>
    <w:rsid w:val="00C62074"/>
    <w:rsid w:val="00C621FE"/>
    <w:rsid w:val="00C629BF"/>
    <w:rsid w:val="00C62F9B"/>
    <w:rsid w:val="00C630C7"/>
    <w:rsid w:val="00C633F5"/>
    <w:rsid w:val="00C63452"/>
    <w:rsid w:val="00C634CC"/>
    <w:rsid w:val="00C63713"/>
    <w:rsid w:val="00C63CE3"/>
    <w:rsid w:val="00C63D89"/>
    <w:rsid w:val="00C63DE8"/>
    <w:rsid w:val="00C6419E"/>
    <w:rsid w:val="00C6457D"/>
    <w:rsid w:val="00C64B6A"/>
    <w:rsid w:val="00C654B7"/>
    <w:rsid w:val="00C66420"/>
    <w:rsid w:val="00C66631"/>
    <w:rsid w:val="00C706A8"/>
    <w:rsid w:val="00C709ED"/>
    <w:rsid w:val="00C7108C"/>
    <w:rsid w:val="00C717FB"/>
    <w:rsid w:val="00C71B2B"/>
    <w:rsid w:val="00C71C2B"/>
    <w:rsid w:val="00C724D4"/>
    <w:rsid w:val="00C72D08"/>
    <w:rsid w:val="00C72E7C"/>
    <w:rsid w:val="00C73045"/>
    <w:rsid w:val="00C738CF"/>
    <w:rsid w:val="00C73B6A"/>
    <w:rsid w:val="00C73DCD"/>
    <w:rsid w:val="00C7433C"/>
    <w:rsid w:val="00C74E0A"/>
    <w:rsid w:val="00C759A4"/>
    <w:rsid w:val="00C759AF"/>
    <w:rsid w:val="00C75C01"/>
    <w:rsid w:val="00C75EDF"/>
    <w:rsid w:val="00C75F78"/>
    <w:rsid w:val="00C76222"/>
    <w:rsid w:val="00C76B84"/>
    <w:rsid w:val="00C76BA2"/>
    <w:rsid w:val="00C76BDA"/>
    <w:rsid w:val="00C77254"/>
    <w:rsid w:val="00C77643"/>
    <w:rsid w:val="00C77D7B"/>
    <w:rsid w:val="00C80B5C"/>
    <w:rsid w:val="00C810A2"/>
    <w:rsid w:val="00C810B6"/>
    <w:rsid w:val="00C81556"/>
    <w:rsid w:val="00C81D08"/>
    <w:rsid w:val="00C81EF9"/>
    <w:rsid w:val="00C81F43"/>
    <w:rsid w:val="00C81FDF"/>
    <w:rsid w:val="00C820E1"/>
    <w:rsid w:val="00C83AE6"/>
    <w:rsid w:val="00C83C05"/>
    <w:rsid w:val="00C83F35"/>
    <w:rsid w:val="00C841D7"/>
    <w:rsid w:val="00C8446A"/>
    <w:rsid w:val="00C85195"/>
    <w:rsid w:val="00C85307"/>
    <w:rsid w:val="00C85418"/>
    <w:rsid w:val="00C85531"/>
    <w:rsid w:val="00C856B2"/>
    <w:rsid w:val="00C865DF"/>
    <w:rsid w:val="00C86760"/>
    <w:rsid w:val="00C86A08"/>
    <w:rsid w:val="00C86C5D"/>
    <w:rsid w:val="00C86FF2"/>
    <w:rsid w:val="00C87711"/>
    <w:rsid w:val="00C878BC"/>
    <w:rsid w:val="00C87CE6"/>
    <w:rsid w:val="00C87EC6"/>
    <w:rsid w:val="00C90F9C"/>
    <w:rsid w:val="00C916B5"/>
    <w:rsid w:val="00C9171E"/>
    <w:rsid w:val="00C917EE"/>
    <w:rsid w:val="00C92536"/>
    <w:rsid w:val="00C930C1"/>
    <w:rsid w:val="00C934EF"/>
    <w:rsid w:val="00C940D3"/>
    <w:rsid w:val="00C94728"/>
    <w:rsid w:val="00C947D8"/>
    <w:rsid w:val="00C95282"/>
    <w:rsid w:val="00C9550C"/>
    <w:rsid w:val="00C9551E"/>
    <w:rsid w:val="00C9579C"/>
    <w:rsid w:val="00C957CB"/>
    <w:rsid w:val="00C95D60"/>
    <w:rsid w:val="00C96095"/>
    <w:rsid w:val="00C96263"/>
    <w:rsid w:val="00C96DF6"/>
    <w:rsid w:val="00C96F9E"/>
    <w:rsid w:val="00C97553"/>
    <w:rsid w:val="00C97AB3"/>
    <w:rsid w:val="00CA0276"/>
    <w:rsid w:val="00CA071C"/>
    <w:rsid w:val="00CA0D77"/>
    <w:rsid w:val="00CA0F24"/>
    <w:rsid w:val="00CA1113"/>
    <w:rsid w:val="00CA1150"/>
    <w:rsid w:val="00CA1649"/>
    <w:rsid w:val="00CA1865"/>
    <w:rsid w:val="00CA1892"/>
    <w:rsid w:val="00CA1910"/>
    <w:rsid w:val="00CA285C"/>
    <w:rsid w:val="00CA28C5"/>
    <w:rsid w:val="00CA2BA3"/>
    <w:rsid w:val="00CA2F8F"/>
    <w:rsid w:val="00CA300A"/>
    <w:rsid w:val="00CA3613"/>
    <w:rsid w:val="00CA3712"/>
    <w:rsid w:val="00CA3BD1"/>
    <w:rsid w:val="00CA40A9"/>
    <w:rsid w:val="00CA4FBF"/>
    <w:rsid w:val="00CA5585"/>
    <w:rsid w:val="00CA56C6"/>
    <w:rsid w:val="00CA5705"/>
    <w:rsid w:val="00CA5ABF"/>
    <w:rsid w:val="00CA5AFC"/>
    <w:rsid w:val="00CA5FEA"/>
    <w:rsid w:val="00CA7488"/>
    <w:rsid w:val="00CA7716"/>
    <w:rsid w:val="00CB013F"/>
    <w:rsid w:val="00CB0672"/>
    <w:rsid w:val="00CB08DA"/>
    <w:rsid w:val="00CB0F18"/>
    <w:rsid w:val="00CB119A"/>
    <w:rsid w:val="00CB123F"/>
    <w:rsid w:val="00CB2B28"/>
    <w:rsid w:val="00CB3469"/>
    <w:rsid w:val="00CB359A"/>
    <w:rsid w:val="00CB3B5C"/>
    <w:rsid w:val="00CB3CDC"/>
    <w:rsid w:val="00CB3E65"/>
    <w:rsid w:val="00CB43C0"/>
    <w:rsid w:val="00CB44E6"/>
    <w:rsid w:val="00CB45C8"/>
    <w:rsid w:val="00CB48EE"/>
    <w:rsid w:val="00CB51DC"/>
    <w:rsid w:val="00CB57B0"/>
    <w:rsid w:val="00CB58E0"/>
    <w:rsid w:val="00CB5B31"/>
    <w:rsid w:val="00CB5B37"/>
    <w:rsid w:val="00CB5FA2"/>
    <w:rsid w:val="00CB6328"/>
    <w:rsid w:val="00CB6610"/>
    <w:rsid w:val="00CB676C"/>
    <w:rsid w:val="00CB6DCC"/>
    <w:rsid w:val="00CB6DE8"/>
    <w:rsid w:val="00CB76D2"/>
    <w:rsid w:val="00CC01DE"/>
    <w:rsid w:val="00CC023C"/>
    <w:rsid w:val="00CC0261"/>
    <w:rsid w:val="00CC0751"/>
    <w:rsid w:val="00CC1D02"/>
    <w:rsid w:val="00CC1EA2"/>
    <w:rsid w:val="00CC1F03"/>
    <w:rsid w:val="00CC244F"/>
    <w:rsid w:val="00CC2A49"/>
    <w:rsid w:val="00CC3461"/>
    <w:rsid w:val="00CC39D1"/>
    <w:rsid w:val="00CC4DF6"/>
    <w:rsid w:val="00CC5453"/>
    <w:rsid w:val="00CC5874"/>
    <w:rsid w:val="00CC5CC0"/>
    <w:rsid w:val="00CC5EFB"/>
    <w:rsid w:val="00CC672D"/>
    <w:rsid w:val="00CC6BBA"/>
    <w:rsid w:val="00CC6F97"/>
    <w:rsid w:val="00CC73E5"/>
    <w:rsid w:val="00CC7676"/>
    <w:rsid w:val="00CC7E02"/>
    <w:rsid w:val="00CC7E49"/>
    <w:rsid w:val="00CD06E4"/>
    <w:rsid w:val="00CD07E5"/>
    <w:rsid w:val="00CD0FB8"/>
    <w:rsid w:val="00CD164F"/>
    <w:rsid w:val="00CD2369"/>
    <w:rsid w:val="00CD286B"/>
    <w:rsid w:val="00CD3596"/>
    <w:rsid w:val="00CD3DC8"/>
    <w:rsid w:val="00CD3FFE"/>
    <w:rsid w:val="00CD42C6"/>
    <w:rsid w:val="00CD4845"/>
    <w:rsid w:val="00CD4B7F"/>
    <w:rsid w:val="00CD4F04"/>
    <w:rsid w:val="00CD5018"/>
    <w:rsid w:val="00CD5583"/>
    <w:rsid w:val="00CD5A97"/>
    <w:rsid w:val="00CD676A"/>
    <w:rsid w:val="00CD686A"/>
    <w:rsid w:val="00CD68F1"/>
    <w:rsid w:val="00CD6FA3"/>
    <w:rsid w:val="00CD748F"/>
    <w:rsid w:val="00CD7590"/>
    <w:rsid w:val="00CD7792"/>
    <w:rsid w:val="00CD799F"/>
    <w:rsid w:val="00CD7A31"/>
    <w:rsid w:val="00CD7CEE"/>
    <w:rsid w:val="00CD7F4D"/>
    <w:rsid w:val="00CE0105"/>
    <w:rsid w:val="00CE0BE9"/>
    <w:rsid w:val="00CE1500"/>
    <w:rsid w:val="00CE1705"/>
    <w:rsid w:val="00CE1BFD"/>
    <w:rsid w:val="00CE1C62"/>
    <w:rsid w:val="00CE210D"/>
    <w:rsid w:val="00CE22B0"/>
    <w:rsid w:val="00CE2422"/>
    <w:rsid w:val="00CE2B45"/>
    <w:rsid w:val="00CE2D65"/>
    <w:rsid w:val="00CE2DE4"/>
    <w:rsid w:val="00CE31ED"/>
    <w:rsid w:val="00CE3318"/>
    <w:rsid w:val="00CE3789"/>
    <w:rsid w:val="00CE38ED"/>
    <w:rsid w:val="00CE4061"/>
    <w:rsid w:val="00CE42CD"/>
    <w:rsid w:val="00CE457B"/>
    <w:rsid w:val="00CE4B3F"/>
    <w:rsid w:val="00CE50B9"/>
    <w:rsid w:val="00CE5116"/>
    <w:rsid w:val="00CE5282"/>
    <w:rsid w:val="00CE528D"/>
    <w:rsid w:val="00CE55C7"/>
    <w:rsid w:val="00CE5806"/>
    <w:rsid w:val="00CE585E"/>
    <w:rsid w:val="00CE5996"/>
    <w:rsid w:val="00CE72B5"/>
    <w:rsid w:val="00CE7BDD"/>
    <w:rsid w:val="00CE7DCB"/>
    <w:rsid w:val="00CE7F72"/>
    <w:rsid w:val="00CF06B8"/>
    <w:rsid w:val="00CF090D"/>
    <w:rsid w:val="00CF0BBA"/>
    <w:rsid w:val="00CF12C9"/>
    <w:rsid w:val="00CF15EE"/>
    <w:rsid w:val="00CF179C"/>
    <w:rsid w:val="00CF1816"/>
    <w:rsid w:val="00CF1E56"/>
    <w:rsid w:val="00CF21AF"/>
    <w:rsid w:val="00CF21B1"/>
    <w:rsid w:val="00CF29C4"/>
    <w:rsid w:val="00CF38F7"/>
    <w:rsid w:val="00CF395E"/>
    <w:rsid w:val="00CF4225"/>
    <w:rsid w:val="00CF4904"/>
    <w:rsid w:val="00CF4CF2"/>
    <w:rsid w:val="00CF6615"/>
    <w:rsid w:val="00CF66CC"/>
    <w:rsid w:val="00CF7A52"/>
    <w:rsid w:val="00D003B2"/>
    <w:rsid w:val="00D007D6"/>
    <w:rsid w:val="00D0092E"/>
    <w:rsid w:val="00D00E2E"/>
    <w:rsid w:val="00D00E75"/>
    <w:rsid w:val="00D016CF"/>
    <w:rsid w:val="00D01828"/>
    <w:rsid w:val="00D03235"/>
    <w:rsid w:val="00D033E2"/>
    <w:rsid w:val="00D03A80"/>
    <w:rsid w:val="00D04B6E"/>
    <w:rsid w:val="00D054FF"/>
    <w:rsid w:val="00D06095"/>
    <w:rsid w:val="00D0612B"/>
    <w:rsid w:val="00D061D8"/>
    <w:rsid w:val="00D064FC"/>
    <w:rsid w:val="00D06676"/>
    <w:rsid w:val="00D06784"/>
    <w:rsid w:val="00D0697C"/>
    <w:rsid w:val="00D06A95"/>
    <w:rsid w:val="00D06B87"/>
    <w:rsid w:val="00D06C0C"/>
    <w:rsid w:val="00D071DB"/>
    <w:rsid w:val="00D07512"/>
    <w:rsid w:val="00D078D4"/>
    <w:rsid w:val="00D07FA9"/>
    <w:rsid w:val="00D101F1"/>
    <w:rsid w:val="00D10336"/>
    <w:rsid w:val="00D107FE"/>
    <w:rsid w:val="00D10945"/>
    <w:rsid w:val="00D11867"/>
    <w:rsid w:val="00D11CDC"/>
    <w:rsid w:val="00D120D7"/>
    <w:rsid w:val="00D12B26"/>
    <w:rsid w:val="00D12F93"/>
    <w:rsid w:val="00D12F9A"/>
    <w:rsid w:val="00D13273"/>
    <w:rsid w:val="00D13288"/>
    <w:rsid w:val="00D1371E"/>
    <w:rsid w:val="00D13801"/>
    <w:rsid w:val="00D13AEC"/>
    <w:rsid w:val="00D14460"/>
    <w:rsid w:val="00D14967"/>
    <w:rsid w:val="00D14C28"/>
    <w:rsid w:val="00D15051"/>
    <w:rsid w:val="00D15074"/>
    <w:rsid w:val="00D150CE"/>
    <w:rsid w:val="00D15433"/>
    <w:rsid w:val="00D155A6"/>
    <w:rsid w:val="00D15D75"/>
    <w:rsid w:val="00D15EED"/>
    <w:rsid w:val="00D16A32"/>
    <w:rsid w:val="00D16B31"/>
    <w:rsid w:val="00D16C72"/>
    <w:rsid w:val="00D174F0"/>
    <w:rsid w:val="00D176EB"/>
    <w:rsid w:val="00D17BDD"/>
    <w:rsid w:val="00D17DA4"/>
    <w:rsid w:val="00D205CE"/>
    <w:rsid w:val="00D20A4D"/>
    <w:rsid w:val="00D20F32"/>
    <w:rsid w:val="00D21059"/>
    <w:rsid w:val="00D210D7"/>
    <w:rsid w:val="00D218E5"/>
    <w:rsid w:val="00D21E37"/>
    <w:rsid w:val="00D222F5"/>
    <w:rsid w:val="00D22979"/>
    <w:rsid w:val="00D229A6"/>
    <w:rsid w:val="00D231E3"/>
    <w:rsid w:val="00D232E8"/>
    <w:rsid w:val="00D2370E"/>
    <w:rsid w:val="00D24711"/>
    <w:rsid w:val="00D25384"/>
    <w:rsid w:val="00D25643"/>
    <w:rsid w:val="00D2583D"/>
    <w:rsid w:val="00D25C33"/>
    <w:rsid w:val="00D25D9B"/>
    <w:rsid w:val="00D25F9B"/>
    <w:rsid w:val="00D26053"/>
    <w:rsid w:val="00D26725"/>
    <w:rsid w:val="00D26B03"/>
    <w:rsid w:val="00D26D0B"/>
    <w:rsid w:val="00D27096"/>
    <w:rsid w:val="00D272C1"/>
    <w:rsid w:val="00D27670"/>
    <w:rsid w:val="00D27868"/>
    <w:rsid w:val="00D27A02"/>
    <w:rsid w:val="00D27A15"/>
    <w:rsid w:val="00D27F5B"/>
    <w:rsid w:val="00D302E2"/>
    <w:rsid w:val="00D30313"/>
    <w:rsid w:val="00D30CF1"/>
    <w:rsid w:val="00D316FB"/>
    <w:rsid w:val="00D3170A"/>
    <w:rsid w:val="00D31F86"/>
    <w:rsid w:val="00D3229C"/>
    <w:rsid w:val="00D32CB2"/>
    <w:rsid w:val="00D32D10"/>
    <w:rsid w:val="00D3334F"/>
    <w:rsid w:val="00D3415E"/>
    <w:rsid w:val="00D3447A"/>
    <w:rsid w:val="00D345D3"/>
    <w:rsid w:val="00D34643"/>
    <w:rsid w:val="00D34FA4"/>
    <w:rsid w:val="00D35699"/>
    <w:rsid w:val="00D359D9"/>
    <w:rsid w:val="00D35CB8"/>
    <w:rsid w:val="00D35F76"/>
    <w:rsid w:val="00D36EB1"/>
    <w:rsid w:val="00D3747C"/>
    <w:rsid w:val="00D375E0"/>
    <w:rsid w:val="00D37623"/>
    <w:rsid w:val="00D401F5"/>
    <w:rsid w:val="00D40944"/>
    <w:rsid w:val="00D409D0"/>
    <w:rsid w:val="00D40A63"/>
    <w:rsid w:val="00D41188"/>
    <w:rsid w:val="00D419CD"/>
    <w:rsid w:val="00D420BE"/>
    <w:rsid w:val="00D42581"/>
    <w:rsid w:val="00D4277B"/>
    <w:rsid w:val="00D42962"/>
    <w:rsid w:val="00D42C80"/>
    <w:rsid w:val="00D43537"/>
    <w:rsid w:val="00D4365C"/>
    <w:rsid w:val="00D43C0E"/>
    <w:rsid w:val="00D43E98"/>
    <w:rsid w:val="00D44D51"/>
    <w:rsid w:val="00D44E7C"/>
    <w:rsid w:val="00D44F1B"/>
    <w:rsid w:val="00D451C1"/>
    <w:rsid w:val="00D451CE"/>
    <w:rsid w:val="00D451F0"/>
    <w:rsid w:val="00D457B5"/>
    <w:rsid w:val="00D458EC"/>
    <w:rsid w:val="00D463BB"/>
    <w:rsid w:val="00D464A2"/>
    <w:rsid w:val="00D465EF"/>
    <w:rsid w:val="00D466CC"/>
    <w:rsid w:val="00D47071"/>
    <w:rsid w:val="00D4763D"/>
    <w:rsid w:val="00D5122E"/>
    <w:rsid w:val="00D51CFE"/>
    <w:rsid w:val="00D5258C"/>
    <w:rsid w:val="00D5269E"/>
    <w:rsid w:val="00D529E2"/>
    <w:rsid w:val="00D52D8F"/>
    <w:rsid w:val="00D52F1D"/>
    <w:rsid w:val="00D53017"/>
    <w:rsid w:val="00D532CF"/>
    <w:rsid w:val="00D53642"/>
    <w:rsid w:val="00D54829"/>
    <w:rsid w:val="00D54CCA"/>
    <w:rsid w:val="00D552A3"/>
    <w:rsid w:val="00D554FA"/>
    <w:rsid w:val="00D55E0D"/>
    <w:rsid w:val="00D55F5C"/>
    <w:rsid w:val="00D55FC7"/>
    <w:rsid w:val="00D560C5"/>
    <w:rsid w:val="00D56BD6"/>
    <w:rsid w:val="00D56C43"/>
    <w:rsid w:val="00D56D3D"/>
    <w:rsid w:val="00D56E7B"/>
    <w:rsid w:val="00D5758B"/>
    <w:rsid w:val="00D57825"/>
    <w:rsid w:val="00D608DC"/>
    <w:rsid w:val="00D60917"/>
    <w:rsid w:val="00D60D4A"/>
    <w:rsid w:val="00D61126"/>
    <w:rsid w:val="00D6150B"/>
    <w:rsid w:val="00D61570"/>
    <w:rsid w:val="00D615D7"/>
    <w:rsid w:val="00D61D29"/>
    <w:rsid w:val="00D61D8D"/>
    <w:rsid w:val="00D62153"/>
    <w:rsid w:val="00D62204"/>
    <w:rsid w:val="00D625A2"/>
    <w:rsid w:val="00D632AB"/>
    <w:rsid w:val="00D63360"/>
    <w:rsid w:val="00D63D6F"/>
    <w:rsid w:val="00D64365"/>
    <w:rsid w:val="00D64A62"/>
    <w:rsid w:val="00D64E6D"/>
    <w:rsid w:val="00D65142"/>
    <w:rsid w:val="00D65428"/>
    <w:rsid w:val="00D65769"/>
    <w:rsid w:val="00D65B7A"/>
    <w:rsid w:val="00D65C49"/>
    <w:rsid w:val="00D670A6"/>
    <w:rsid w:val="00D67471"/>
    <w:rsid w:val="00D67C81"/>
    <w:rsid w:val="00D67D9B"/>
    <w:rsid w:val="00D67F3B"/>
    <w:rsid w:val="00D70321"/>
    <w:rsid w:val="00D7059C"/>
    <w:rsid w:val="00D708D4"/>
    <w:rsid w:val="00D70DF5"/>
    <w:rsid w:val="00D70E04"/>
    <w:rsid w:val="00D71446"/>
    <w:rsid w:val="00D71770"/>
    <w:rsid w:val="00D71A90"/>
    <w:rsid w:val="00D71D80"/>
    <w:rsid w:val="00D722EF"/>
    <w:rsid w:val="00D73139"/>
    <w:rsid w:val="00D7322E"/>
    <w:rsid w:val="00D73724"/>
    <w:rsid w:val="00D73806"/>
    <w:rsid w:val="00D73DA5"/>
    <w:rsid w:val="00D7418E"/>
    <w:rsid w:val="00D74C62"/>
    <w:rsid w:val="00D74E6A"/>
    <w:rsid w:val="00D75C9B"/>
    <w:rsid w:val="00D76497"/>
    <w:rsid w:val="00D76639"/>
    <w:rsid w:val="00D76AF6"/>
    <w:rsid w:val="00D76BE1"/>
    <w:rsid w:val="00D77657"/>
    <w:rsid w:val="00D777B2"/>
    <w:rsid w:val="00D77F40"/>
    <w:rsid w:val="00D80070"/>
    <w:rsid w:val="00D8042A"/>
    <w:rsid w:val="00D8078A"/>
    <w:rsid w:val="00D80E5D"/>
    <w:rsid w:val="00D80EB8"/>
    <w:rsid w:val="00D8108C"/>
    <w:rsid w:val="00D818D0"/>
    <w:rsid w:val="00D81A8E"/>
    <w:rsid w:val="00D824AE"/>
    <w:rsid w:val="00D82642"/>
    <w:rsid w:val="00D826A7"/>
    <w:rsid w:val="00D8280A"/>
    <w:rsid w:val="00D8290F"/>
    <w:rsid w:val="00D832D1"/>
    <w:rsid w:val="00D83311"/>
    <w:rsid w:val="00D84E0C"/>
    <w:rsid w:val="00D8583F"/>
    <w:rsid w:val="00D865E1"/>
    <w:rsid w:val="00D86E06"/>
    <w:rsid w:val="00D8769A"/>
    <w:rsid w:val="00D9009A"/>
    <w:rsid w:val="00D901E9"/>
    <w:rsid w:val="00D91662"/>
    <w:rsid w:val="00D9167A"/>
    <w:rsid w:val="00D916AC"/>
    <w:rsid w:val="00D9175D"/>
    <w:rsid w:val="00D9190F"/>
    <w:rsid w:val="00D91988"/>
    <w:rsid w:val="00D91DB0"/>
    <w:rsid w:val="00D91FBC"/>
    <w:rsid w:val="00D92139"/>
    <w:rsid w:val="00D92156"/>
    <w:rsid w:val="00D92844"/>
    <w:rsid w:val="00D92F15"/>
    <w:rsid w:val="00D930B2"/>
    <w:rsid w:val="00D9311C"/>
    <w:rsid w:val="00D93565"/>
    <w:rsid w:val="00D9367A"/>
    <w:rsid w:val="00D93B2A"/>
    <w:rsid w:val="00D94790"/>
    <w:rsid w:val="00D9490C"/>
    <w:rsid w:val="00D94967"/>
    <w:rsid w:val="00D94B3C"/>
    <w:rsid w:val="00D94E22"/>
    <w:rsid w:val="00D95174"/>
    <w:rsid w:val="00D952BA"/>
    <w:rsid w:val="00D952BD"/>
    <w:rsid w:val="00D9563D"/>
    <w:rsid w:val="00D95757"/>
    <w:rsid w:val="00D95B73"/>
    <w:rsid w:val="00D95DC5"/>
    <w:rsid w:val="00D95EDD"/>
    <w:rsid w:val="00D9626F"/>
    <w:rsid w:val="00D96BED"/>
    <w:rsid w:val="00D96E81"/>
    <w:rsid w:val="00D97062"/>
    <w:rsid w:val="00D9713D"/>
    <w:rsid w:val="00D97473"/>
    <w:rsid w:val="00D97989"/>
    <w:rsid w:val="00D97B29"/>
    <w:rsid w:val="00DA0D88"/>
    <w:rsid w:val="00DA1480"/>
    <w:rsid w:val="00DA1CA5"/>
    <w:rsid w:val="00DA2A80"/>
    <w:rsid w:val="00DA2ABC"/>
    <w:rsid w:val="00DA2DB6"/>
    <w:rsid w:val="00DA30A6"/>
    <w:rsid w:val="00DA31C7"/>
    <w:rsid w:val="00DA365B"/>
    <w:rsid w:val="00DA36E2"/>
    <w:rsid w:val="00DA3735"/>
    <w:rsid w:val="00DA4021"/>
    <w:rsid w:val="00DA4414"/>
    <w:rsid w:val="00DA480C"/>
    <w:rsid w:val="00DA4816"/>
    <w:rsid w:val="00DA4C06"/>
    <w:rsid w:val="00DA4DC6"/>
    <w:rsid w:val="00DA4EF9"/>
    <w:rsid w:val="00DA55B0"/>
    <w:rsid w:val="00DA55EC"/>
    <w:rsid w:val="00DA5AE7"/>
    <w:rsid w:val="00DA6342"/>
    <w:rsid w:val="00DA69A9"/>
    <w:rsid w:val="00DA69D4"/>
    <w:rsid w:val="00DA6F79"/>
    <w:rsid w:val="00DA7FED"/>
    <w:rsid w:val="00DB0439"/>
    <w:rsid w:val="00DB0F09"/>
    <w:rsid w:val="00DB17CA"/>
    <w:rsid w:val="00DB188A"/>
    <w:rsid w:val="00DB1DD2"/>
    <w:rsid w:val="00DB245D"/>
    <w:rsid w:val="00DB283D"/>
    <w:rsid w:val="00DB3002"/>
    <w:rsid w:val="00DB3467"/>
    <w:rsid w:val="00DB356B"/>
    <w:rsid w:val="00DB396D"/>
    <w:rsid w:val="00DB39E7"/>
    <w:rsid w:val="00DB418D"/>
    <w:rsid w:val="00DB4476"/>
    <w:rsid w:val="00DB473C"/>
    <w:rsid w:val="00DB481D"/>
    <w:rsid w:val="00DB489B"/>
    <w:rsid w:val="00DB4C8A"/>
    <w:rsid w:val="00DB5518"/>
    <w:rsid w:val="00DB5695"/>
    <w:rsid w:val="00DB5858"/>
    <w:rsid w:val="00DB66DF"/>
    <w:rsid w:val="00DB6C35"/>
    <w:rsid w:val="00DB718B"/>
    <w:rsid w:val="00DB7F47"/>
    <w:rsid w:val="00DC0154"/>
    <w:rsid w:val="00DC02F0"/>
    <w:rsid w:val="00DC0336"/>
    <w:rsid w:val="00DC084D"/>
    <w:rsid w:val="00DC09EC"/>
    <w:rsid w:val="00DC1613"/>
    <w:rsid w:val="00DC19F0"/>
    <w:rsid w:val="00DC1E19"/>
    <w:rsid w:val="00DC1ECF"/>
    <w:rsid w:val="00DC219B"/>
    <w:rsid w:val="00DC21C3"/>
    <w:rsid w:val="00DC2524"/>
    <w:rsid w:val="00DC2BFE"/>
    <w:rsid w:val="00DC2E47"/>
    <w:rsid w:val="00DC30B7"/>
    <w:rsid w:val="00DC30BB"/>
    <w:rsid w:val="00DC3119"/>
    <w:rsid w:val="00DC37F7"/>
    <w:rsid w:val="00DC3CB4"/>
    <w:rsid w:val="00DC3CD5"/>
    <w:rsid w:val="00DC3CD6"/>
    <w:rsid w:val="00DC3EE5"/>
    <w:rsid w:val="00DC3F31"/>
    <w:rsid w:val="00DC44CA"/>
    <w:rsid w:val="00DC45C3"/>
    <w:rsid w:val="00DC4BF8"/>
    <w:rsid w:val="00DC52F9"/>
    <w:rsid w:val="00DC5CC7"/>
    <w:rsid w:val="00DC5E9C"/>
    <w:rsid w:val="00DC7088"/>
    <w:rsid w:val="00DC7BF2"/>
    <w:rsid w:val="00DD0169"/>
    <w:rsid w:val="00DD0AB6"/>
    <w:rsid w:val="00DD0D9B"/>
    <w:rsid w:val="00DD14A8"/>
    <w:rsid w:val="00DD1579"/>
    <w:rsid w:val="00DD1798"/>
    <w:rsid w:val="00DD1B31"/>
    <w:rsid w:val="00DD20FC"/>
    <w:rsid w:val="00DD2802"/>
    <w:rsid w:val="00DD293E"/>
    <w:rsid w:val="00DD2CDB"/>
    <w:rsid w:val="00DD2FCD"/>
    <w:rsid w:val="00DD3885"/>
    <w:rsid w:val="00DD3DE8"/>
    <w:rsid w:val="00DD443D"/>
    <w:rsid w:val="00DD4A86"/>
    <w:rsid w:val="00DD4F10"/>
    <w:rsid w:val="00DD5120"/>
    <w:rsid w:val="00DD512F"/>
    <w:rsid w:val="00DD5319"/>
    <w:rsid w:val="00DD55FD"/>
    <w:rsid w:val="00DD5C3A"/>
    <w:rsid w:val="00DD5C72"/>
    <w:rsid w:val="00DD600D"/>
    <w:rsid w:val="00DD615C"/>
    <w:rsid w:val="00DD6A94"/>
    <w:rsid w:val="00DD74E9"/>
    <w:rsid w:val="00DD7690"/>
    <w:rsid w:val="00DD7A53"/>
    <w:rsid w:val="00DD7F6C"/>
    <w:rsid w:val="00DD7FB1"/>
    <w:rsid w:val="00DE0084"/>
    <w:rsid w:val="00DE03C0"/>
    <w:rsid w:val="00DE072F"/>
    <w:rsid w:val="00DE16D9"/>
    <w:rsid w:val="00DE2584"/>
    <w:rsid w:val="00DE273C"/>
    <w:rsid w:val="00DE2D9B"/>
    <w:rsid w:val="00DE34BA"/>
    <w:rsid w:val="00DE3F38"/>
    <w:rsid w:val="00DE4922"/>
    <w:rsid w:val="00DE4AD5"/>
    <w:rsid w:val="00DE59D0"/>
    <w:rsid w:val="00DE5A0F"/>
    <w:rsid w:val="00DE5A38"/>
    <w:rsid w:val="00DE5BFE"/>
    <w:rsid w:val="00DE5CA0"/>
    <w:rsid w:val="00DE625C"/>
    <w:rsid w:val="00DE67D5"/>
    <w:rsid w:val="00DE6CB6"/>
    <w:rsid w:val="00DE6D98"/>
    <w:rsid w:val="00DE6DF0"/>
    <w:rsid w:val="00DE7112"/>
    <w:rsid w:val="00DE7CE4"/>
    <w:rsid w:val="00DE7FF0"/>
    <w:rsid w:val="00DF15A8"/>
    <w:rsid w:val="00DF1C8E"/>
    <w:rsid w:val="00DF1CA3"/>
    <w:rsid w:val="00DF27B5"/>
    <w:rsid w:val="00DF27CC"/>
    <w:rsid w:val="00DF29A5"/>
    <w:rsid w:val="00DF2BDB"/>
    <w:rsid w:val="00DF35B6"/>
    <w:rsid w:val="00DF376F"/>
    <w:rsid w:val="00DF3999"/>
    <w:rsid w:val="00DF3A9F"/>
    <w:rsid w:val="00DF47C7"/>
    <w:rsid w:val="00DF4E73"/>
    <w:rsid w:val="00DF54EE"/>
    <w:rsid w:val="00DF5661"/>
    <w:rsid w:val="00DF5D96"/>
    <w:rsid w:val="00DF64A3"/>
    <w:rsid w:val="00DF6C7D"/>
    <w:rsid w:val="00DF73A9"/>
    <w:rsid w:val="00DF7443"/>
    <w:rsid w:val="00E0105F"/>
    <w:rsid w:val="00E01792"/>
    <w:rsid w:val="00E01C32"/>
    <w:rsid w:val="00E020BB"/>
    <w:rsid w:val="00E021FC"/>
    <w:rsid w:val="00E02730"/>
    <w:rsid w:val="00E03629"/>
    <w:rsid w:val="00E03B37"/>
    <w:rsid w:val="00E042E8"/>
    <w:rsid w:val="00E04396"/>
    <w:rsid w:val="00E04B37"/>
    <w:rsid w:val="00E05376"/>
    <w:rsid w:val="00E054AB"/>
    <w:rsid w:val="00E0552E"/>
    <w:rsid w:val="00E05854"/>
    <w:rsid w:val="00E0645B"/>
    <w:rsid w:val="00E06462"/>
    <w:rsid w:val="00E0659C"/>
    <w:rsid w:val="00E0663E"/>
    <w:rsid w:val="00E0689A"/>
    <w:rsid w:val="00E075CD"/>
    <w:rsid w:val="00E07BB4"/>
    <w:rsid w:val="00E104CB"/>
    <w:rsid w:val="00E10861"/>
    <w:rsid w:val="00E10FED"/>
    <w:rsid w:val="00E11111"/>
    <w:rsid w:val="00E116BF"/>
    <w:rsid w:val="00E11C31"/>
    <w:rsid w:val="00E128BA"/>
    <w:rsid w:val="00E12DDE"/>
    <w:rsid w:val="00E13593"/>
    <w:rsid w:val="00E13B24"/>
    <w:rsid w:val="00E13CE1"/>
    <w:rsid w:val="00E14A1E"/>
    <w:rsid w:val="00E14E07"/>
    <w:rsid w:val="00E14E0A"/>
    <w:rsid w:val="00E14F40"/>
    <w:rsid w:val="00E15071"/>
    <w:rsid w:val="00E15235"/>
    <w:rsid w:val="00E15AEF"/>
    <w:rsid w:val="00E15BA0"/>
    <w:rsid w:val="00E15CB0"/>
    <w:rsid w:val="00E16082"/>
    <w:rsid w:val="00E1637D"/>
    <w:rsid w:val="00E1645E"/>
    <w:rsid w:val="00E167E8"/>
    <w:rsid w:val="00E16B75"/>
    <w:rsid w:val="00E16C1B"/>
    <w:rsid w:val="00E17352"/>
    <w:rsid w:val="00E1773A"/>
    <w:rsid w:val="00E178F0"/>
    <w:rsid w:val="00E17BC6"/>
    <w:rsid w:val="00E17FA2"/>
    <w:rsid w:val="00E200A7"/>
    <w:rsid w:val="00E20172"/>
    <w:rsid w:val="00E20238"/>
    <w:rsid w:val="00E207F3"/>
    <w:rsid w:val="00E20CF7"/>
    <w:rsid w:val="00E20E34"/>
    <w:rsid w:val="00E213F2"/>
    <w:rsid w:val="00E21724"/>
    <w:rsid w:val="00E21BFC"/>
    <w:rsid w:val="00E2203A"/>
    <w:rsid w:val="00E233EB"/>
    <w:rsid w:val="00E23720"/>
    <w:rsid w:val="00E2382D"/>
    <w:rsid w:val="00E238F4"/>
    <w:rsid w:val="00E24182"/>
    <w:rsid w:val="00E24CFD"/>
    <w:rsid w:val="00E25640"/>
    <w:rsid w:val="00E256DB"/>
    <w:rsid w:val="00E25A86"/>
    <w:rsid w:val="00E25CFD"/>
    <w:rsid w:val="00E25D7C"/>
    <w:rsid w:val="00E25F44"/>
    <w:rsid w:val="00E275B6"/>
    <w:rsid w:val="00E27CD0"/>
    <w:rsid w:val="00E30DAD"/>
    <w:rsid w:val="00E3121A"/>
    <w:rsid w:val="00E31A02"/>
    <w:rsid w:val="00E31B37"/>
    <w:rsid w:val="00E31E20"/>
    <w:rsid w:val="00E3215A"/>
    <w:rsid w:val="00E321EB"/>
    <w:rsid w:val="00E32258"/>
    <w:rsid w:val="00E322EC"/>
    <w:rsid w:val="00E325EA"/>
    <w:rsid w:val="00E32D0C"/>
    <w:rsid w:val="00E3317F"/>
    <w:rsid w:val="00E33229"/>
    <w:rsid w:val="00E33670"/>
    <w:rsid w:val="00E33787"/>
    <w:rsid w:val="00E337B7"/>
    <w:rsid w:val="00E33AD0"/>
    <w:rsid w:val="00E33BA6"/>
    <w:rsid w:val="00E33D99"/>
    <w:rsid w:val="00E33ED6"/>
    <w:rsid w:val="00E33EFD"/>
    <w:rsid w:val="00E3402B"/>
    <w:rsid w:val="00E34239"/>
    <w:rsid w:val="00E34373"/>
    <w:rsid w:val="00E343DF"/>
    <w:rsid w:val="00E34845"/>
    <w:rsid w:val="00E348CE"/>
    <w:rsid w:val="00E34DB1"/>
    <w:rsid w:val="00E34E5A"/>
    <w:rsid w:val="00E34F1C"/>
    <w:rsid w:val="00E3590A"/>
    <w:rsid w:val="00E3592E"/>
    <w:rsid w:val="00E35CDB"/>
    <w:rsid w:val="00E35DC5"/>
    <w:rsid w:val="00E360DE"/>
    <w:rsid w:val="00E3656D"/>
    <w:rsid w:val="00E36756"/>
    <w:rsid w:val="00E367E7"/>
    <w:rsid w:val="00E36850"/>
    <w:rsid w:val="00E36D9D"/>
    <w:rsid w:val="00E36F85"/>
    <w:rsid w:val="00E37584"/>
    <w:rsid w:val="00E3784A"/>
    <w:rsid w:val="00E402BF"/>
    <w:rsid w:val="00E404A4"/>
    <w:rsid w:val="00E407FB"/>
    <w:rsid w:val="00E40C49"/>
    <w:rsid w:val="00E40F19"/>
    <w:rsid w:val="00E415F6"/>
    <w:rsid w:val="00E41656"/>
    <w:rsid w:val="00E41A51"/>
    <w:rsid w:val="00E41E2F"/>
    <w:rsid w:val="00E4284A"/>
    <w:rsid w:val="00E42FF6"/>
    <w:rsid w:val="00E44899"/>
    <w:rsid w:val="00E44C8E"/>
    <w:rsid w:val="00E45193"/>
    <w:rsid w:val="00E454E6"/>
    <w:rsid w:val="00E4609D"/>
    <w:rsid w:val="00E46205"/>
    <w:rsid w:val="00E46B01"/>
    <w:rsid w:val="00E47385"/>
    <w:rsid w:val="00E479CA"/>
    <w:rsid w:val="00E47A91"/>
    <w:rsid w:val="00E47D65"/>
    <w:rsid w:val="00E47DC3"/>
    <w:rsid w:val="00E50233"/>
    <w:rsid w:val="00E5039D"/>
    <w:rsid w:val="00E50D8B"/>
    <w:rsid w:val="00E50ED7"/>
    <w:rsid w:val="00E512B9"/>
    <w:rsid w:val="00E5149B"/>
    <w:rsid w:val="00E52BD8"/>
    <w:rsid w:val="00E52F14"/>
    <w:rsid w:val="00E52F2B"/>
    <w:rsid w:val="00E53042"/>
    <w:rsid w:val="00E53447"/>
    <w:rsid w:val="00E539C2"/>
    <w:rsid w:val="00E53A31"/>
    <w:rsid w:val="00E53B61"/>
    <w:rsid w:val="00E53CB9"/>
    <w:rsid w:val="00E53ED2"/>
    <w:rsid w:val="00E5414D"/>
    <w:rsid w:val="00E54EF2"/>
    <w:rsid w:val="00E5563B"/>
    <w:rsid w:val="00E55BCB"/>
    <w:rsid w:val="00E55C1F"/>
    <w:rsid w:val="00E55C88"/>
    <w:rsid w:val="00E5618A"/>
    <w:rsid w:val="00E561CB"/>
    <w:rsid w:val="00E566BD"/>
    <w:rsid w:val="00E567FF"/>
    <w:rsid w:val="00E56A50"/>
    <w:rsid w:val="00E56AF2"/>
    <w:rsid w:val="00E57598"/>
    <w:rsid w:val="00E577CE"/>
    <w:rsid w:val="00E57AF9"/>
    <w:rsid w:val="00E57BFF"/>
    <w:rsid w:val="00E60365"/>
    <w:rsid w:val="00E619AD"/>
    <w:rsid w:val="00E62B4A"/>
    <w:rsid w:val="00E6327F"/>
    <w:rsid w:val="00E634D2"/>
    <w:rsid w:val="00E63E56"/>
    <w:rsid w:val="00E6409B"/>
    <w:rsid w:val="00E64119"/>
    <w:rsid w:val="00E64266"/>
    <w:rsid w:val="00E64FF4"/>
    <w:rsid w:val="00E65030"/>
    <w:rsid w:val="00E655BA"/>
    <w:rsid w:val="00E65E38"/>
    <w:rsid w:val="00E660C9"/>
    <w:rsid w:val="00E66F6C"/>
    <w:rsid w:val="00E67A8F"/>
    <w:rsid w:val="00E70309"/>
    <w:rsid w:val="00E705CC"/>
    <w:rsid w:val="00E7108F"/>
    <w:rsid w:val="00E714FB"/>
    <w:rsid w:val="00E71588"/>
    <w:rsid w:val="00E71935"/>
    <w:rsid w:val="00E71E59"/>
    <w:rsid w:val="00E71F7D"/>
    <w:rsid w:val="00E721AF"/>
    <w:rsid w:val="00E7239C"/>
    <w:rsid w:val="00E72578"/>
    <w:rsid w:val="00E72616"/>
    <w:rsid w:val="00E727A3"/>
    <w:rsid w:val="00E72978"/>
    <w:rsid w:val="00E72C0A"/>
    <w:rsid w:val="00E73156"/>
    <w:rsid w:val="00E73343"/>
    <w:rsid w:val="00E73621"/>
    <w:rsid w:val="00E738A9"/>
    <w:rsid w:val="00E739E7"/>
    <w:rsid w:val="00E73CF3"/>
    <w:rsid w:val="00E73E88"/>
    <w:rsid w:val="00E743E6"/>
    <w:rsid w:val="00E7463B"/>
    <w:rsid w:val="00E74F0F"/>
    <w:rsid w:val="00E757A5"/>
    <w:rsid w:val="00E759B7"/>
    <w:rsid w:val="00E75D79"/>
    <w:rsid w:val="00E764F7"/>
    <w:rsid w:val="00E76864"/>
    <w:rsid w:val="00E76B9D"/>
    <w:rsid w:val="00E76C05"/>
    <w:rsid w:val="00E77177"/>
    <w:rsid w:val="00E77412"/>
    <w:rsid w:val="00E77494"/>
    <w:rsid w:val="00E776CA"/>
    <w:rsid w:val="00E80083"/>
    <w:rsid w:val="00E805BE"/>
    <w:rsid w:val="00E80C60"/>
    <w:rsid w:val="00E80C7B"/>
    <w:rsid w:val="00E80D29"/>
    <w:rsid w:val="00E811A3"/>
    <w:rsid w:val="00E81560"/>
    <w:rsid w:val="00E8230E"/>
    <w:rsid w:val="00E82862"/>
    <w:rsid w:val="00E835CE"/>
    <w:rsid w:val="00E83673"/>
    <w:rsid w:val="00E83924"/>
    <w:rsid w:val="00E83C2A"/>
    <w:rsid w:val="00E84123"/>
    <w:rsid w:val="00E844B8"/>
    <w:rsid w:val="00E849EF"/>
    <w:rsid w:val="00E85AE3"/>
    <w:rsid w:val="00E8673C"/>
    <w:rsid w:val="00E87183"/>
    <w:rsid w:val="00E87591"/>
    <w:rsid w:val="00E8761D"/>
    <w:rsid w:val="00E90DB9"/>
    <w:rsid w:val="00E90E1A"/>
    <w:rsid w:val="00E90F33"/>
    <w:rsid w:val="00E911A4"/>
    <w:rsid w:val="00E91855"/>
    <w:rsid w:val="00E918C6"/>
    <w:rsid w:val="00E91FBE"/>
    <w:rsid w:val="00E92999"/>
    <w:rsid w:val="00E92D18"/>
    <w:rsid w:val="00E931C8"/>
    <w:rsid w:val="00E93478"/>
    <w:rsid w:val="00E93C2C"/>
    <w:rsid w:val="00E93D73"/>
    <w:rsid w:val="00E94320"/>
    <w:rsid w:val="00E94A77"/>
    <w:rsid w:val="00E94BCE"/>
    <w:rsid w:val="00E95009"/>
    <w:rsid w:val="00E9511A"/>
    <w:rsid w:val="00E9518B"/>
    <w:rsid w:val="00E95B2E"/>
    <w:rsid w:val="00E95CED"/>
    <w:rsid w:val="00E96448"/>
    <w:rsid w:val="00E9726D"/>
    <w:rsid w:val="00E976FB"/>
    <w:rsid w:val="00EA031D"/>
    <w:rsid w:val="00EA036C"/>
    <w:rsid w:val="00EA04C0"/>
    <w:rsid w:val="00EA0E33"/>
    <w:rsid w:val="00EA10B1"/>
    <w:rsid w:val="00EA1745"/>
    <w:rsid w:val="00EA17D8"/>
    <w:rsid w:val="00EA25BC"/>
    <w:rsid w:val="00EA2906"/>
    <w:rsid w:val="00EA2C41"/>
    <w:rsid w:val="00EA2E48"/>
    <w:rsid w:val="00EA3129"/>
    <w:rsid w:val="00EA33DC"/>
    <w:rsid w:val="00EA3BC9"/>
    <w:rsid w:val="00EA3D78"/>
    <w:rsid w:val="00EA3E0A"/>
    <w:rsid w:val="00EA4563"/>
    <w:rsid w:val="00EA4C04"/>
    <w:rsid w:val="00EA5162"/>
    <w:rsid w:val="00EA5B45"/>
    <w:rsid w:val="00EA5DEF"/>
    <w:rsid w:val="00EA62AF"/>
    <w:rsid w:val="00EA6369"/>
    <w:rsid w:val="00EA63CC"/>
    <w:rsid w:val="00EA7628"/>
    <w:rsid w:val="00EA786A"/>
    <w:rsid w:val="00EA79B1"/>
    <w:rsid w:val="00EA7F23"/>
    <w:rsid w:val="00EB0589"/>
    <w:rsid w:val="00EB0BD9"/>
    <w:rsid w:val="00EB0C9D"/>
    <w:rsid w:val="00EB0D4E"/>
    <w:rsid w:val="00EB11C5"/>
    <w:rsid w:val="00EB11F2"/>
    <w:rsid w:val="00EB15C3"/>
    <w:rsid w:val="00EB1CB6"/>
    <w:rsid w:val="00EB1FD2"/>
    <w:rsid w:val="00EB285E"/>
    <w:rsid w:val="00EB293F"/>
    <w:rsid w:val="00EB2CA6"/>
    <w:rsid w:val="00EB2D79"/>
    <w:rsid w:val="00EB37B7"/>
    <w:rsid w:val="00EB37F1"/>
    <w:rsid w:val="00EB3B98"/>
    <w:rsid w:val="00EB4329"/>
    <w:rsid w:val="00EB44ED"/>
    <w:rsid w:val="00EB4522"/>
    <w:rsid w:val="00EB5412"/>
    <w:rsid w:val="00EB54A8"/>
    <w:rsid w:val="00EB5654"/>
    <w:rsid w:val="00EB5DB8"/>
    <w:rsid w:val="00EB648A"/>
    <w:rsid w:val="00EB684C"/>
    <w:rsid w:val="00EB6B17"/>
    <w:rsid w:val="00EB6B32"/>
    <w:rsid w:val="00EB6B8D"/>
    <w:rsid w:val="00EB6C25"/>
    <w:rsid w:val="00EB6D14"/>
    <w:rsid w:val="00EB6ECF"/>
    <w:rsid w:val="00EB7779"/>
    <w:rsid w:val="00EB77FB"/>
    <w:rsid w:val="00EB7D4D"/>
    <w:rsid w:val="00EC03E8"/>
    <w:rsid w:val="00EC06F0"/>
    <w:rsid w:val="00EC076D"/>
    <w:rsid w:val="00EC0DF3"/>
    <w:rsid w:val="00EC1651"/>
    <w:rsid w:val="00EC1655"/>
    <w:rsid w:val="00EC194B"/>
    <w:rsid w:val="00EC1D37"/>
    <w:rsid w:val="00EC25E2"/>
    <w:rsid w:val="00EC396E"/>
    <w:rsid w:val="00EC39A0"/>
    <w:rsid w:val="00EC3A05"/>
    <w:rsid w:val="00EC3DA7"/>
    <w:rsid w:val="00EC41DA"/>
    <w:rsid w:val="00EC42C0"/>
    <w:rsid w:val="00EC4487"/>
    <w:rsid w:val="00EC4DBF"/>
    <w:rsid w:val="00EC5697"/>
    <w:rsid w:val="00EC64B2"/>
    <w:rsid w:val="00EC65BF"/>
    <w:rsid w:val="00EC6832"/>
    <w:rsid w:val="00EC6CA8"/>
    <w:rsid w:val="00EC6E12"/>
    <w:rsid w:val="00EC7860"/>
    <w:rsid w:val="00EC7B86"/>
    <w:rsid w:val="00EC7F93"/>
    <w:rsid w:val="00ED0104"/>
    <w:rsid w:val="00ED0649"/>
    <w:rsid w:val="00ED0BA2"/>
    <w:rsid w:val="00ED112A"/>
    <w:rsid w:val="00ED1737"/>
    <w:rsid w:val="00ED19ED"/>
    <w:rsid w:val="00ED1B90"/>
    <w:rsid w:val="00ED1BAC"/>
    <w:rsid w:val="00ED1CF6"/>
    <w:rsid w:val="00ED2036"/>
    <w:rsid w:val="00ED25BA"/>
    <w:rsid w:val="00ED2A2C"/>
    <w:rsid w:val="00ED3540"/>
    <w:rsid w:val="00ED35B9"/>
    <w:rsid w:val="00ED369A"/>
    <w:rsid w:val="00ED36A6"/>
    <w:rsid w:val="00ED37D1"/>
    <w:rsid w:val="00ED3C4D"/>
    <w:rsid w:val="00ED3DD1"/>
    <w:rsid w:val="00ED429C"/>
    <w:rsid w:val="00ED4A0B"/>
    <w:rsid w:val="00ED52EF"/>
    <w:rsid w:val="00ED554B"/>
    <w:rsid w:val="00ED57DC"/>
    <w:rsid w:val="00ED5909"/>
    <w:rsid w:val="00ED64B0"/>
    <w:rsid w:val="00ED6633"/>
    <w:rsid w:val="00ED6839"/>
    <w:rsid w:val="00ED689C"/>
    <w:rsid w:val="00ED68C9"/>
    <w:rsid w:val="00ED69C1"/>
    <w:rsid w:val="00ED72E8"/>
    <w:rsid w:val="00ED7674"/>
    <w:rsid w:val="00ED76F9"/>
    <w:rsid w:val="00EE02E3"/>
    <w:rsid w:val="00EE063E"/>
    <w:rsid w:val="00EE06E6"/>
    <w:rsid w:val="00EE138C"/>
    <w:rsid w:val="00EE144D"/>
    <w:rsid w:val="00EE1C41"/>
    <w:rsid w:val="00EE30C4"/>
    <w:rsid w:val="00EE3327"/>
    <w:rsid w:val="00EE392F"/>
    <w:rsid w:val="00EE3C43"/>
    <w:rsid w:val="00EE3CE4"/>
    <w:rsid w:val="00EE436E"/>
    <w:rsid w:val="00EE4B2F"/>
    <w:rsid w:val="00EE5229"/>
    <w:rsid w:val="00EE5321"/>
    <w:rsid w:val="00EE55BF"/>
    <w:rsid w:val="00EE5661"/>
    <w:rsid w:val="00EE5F0A"/>
    <w:rsid w:val="00EE5FA0"/>
    <w:rsid w:val="00EE661C"/>
    <w:rsid w:val="00EE6C8E"/>
    <w:rsid w:val="00EE7409"/>
    <w:rsid w:val="00EE75DC"/>
    <w:rsid w:val="00EE7783"/>
    <w:rsid w:val="00EE79E5"/>
    <w:rsid w:val="00EE7B0B"/>
    <w:rsid w:val="00EE7E7E"/>
    <w:rsid w:val="00EF04FC"/>
    <w:rsid w:val="00EF0AC0"/>
    <w:rsid w:val="00EF1BDC"/>
    <w:rsid w:val="00EF1C2C"/>
    <w:rsid w:val="00EF1F58"/>
    <w:rsid w:val="00EF1FD1"/>
    <w:rsid w:val="00EF25FC"/>
    <w:rsid w:val="00EF3881"/>
    <w:rsid w:val="00EF3C45"/>
    <w:rsid w:val="00EF3D22"/>
    <w:rsid w:val="00EF3D93"/>
    <w:rsid w:val="00EF413F"/>
    <w:rsid w:val="00EF466E"/>
    <w:rsid w:val="00EF4FDB"/>
    <w:rsid w:val="00EF4FFC"/>
    <w:rsid w:val="00EF58AE"/>
    <w:rsid w:val="00EF64E6"/>
    <w:rsid w:val="00EF6763"/>
    <w:rsid w:val="00EF6B3E"/>
    <w:rsid w:val="00EF6CD7"/>
    <w:rsid w:val="00EF6DAF"/>
    <w:rsid w:val="00EF6F7F"/>
    <w:rsid w:val="00EF76F7"/>
    <w:rsid w:val="00EF7D8E"/>
    <w:rsid w:val="00EF7FF9"/>
    <w:rsid w:val="00F00873"/>
    <w:rsid w:val="00F008CD"/>
    <w:rsid w:val="00F01007"/>
    <w:rsid w:val="00F01D6F"/>
    <w:rsid w:val="00F01EC9"/>
    <w:rsid w:val="00F02023"/>
    <w:rsid w:val="00F02024"/>
    <w:rsid w:val="00F0209B"/>
    <w:rsid w:val="00F0286F"/>
    <w:rsid w:val="00F03012"/>
    <w:rsid w:val="00F0339C"/>
    <w:rsid w:val="00F03AF6"/>
    <w:rsid w:val="00F0419C"/>
    <w:rsid w:val="00F043BE"/>
    <w:rsid w:val="00F04478"/>
    <w:rsid w:val="00F047F9"/>
    <w:rsid w:val="00F05173"/>
    <w:rsid w:val="00F055DF"/>
    <w:rsid w:val="00F05B9F"/>
    <w:rsid w:val="00F062F6"/>
    <w:rsid w:val="00F068DD"/>
    <w:rsid w:val="00F07050"/>
    <w:rsid w:val="00F0752F"/>
    <w:rsid w:val="00F076AF"/>
    <w:rsid w:val="00F07C8A"/>
    <w:rsid w:val="00F07EF8"/>
    <w:rsid w:val="00F07F03"/>
    <w:rsid w:val="00F10D81"/>
    <w:rsid w:val="00F10F11"/>
    <w:rsid w:val="00F11A58"/>
    <w:rsid w:val="00F12784"/>
    <w:rsid w:val="00F12876"/>
    <w:rsid w:val="00F12A3A"/>
    <w:rsid w:val="00F12B3C"/>
    <w:rsid w:val="00F131C7"/>
    <w:rsid w:val="00F13698"/>
    <w:rsid w:val="00F136F2"/>
    <w:rsid w:val="00F137D4"/>
    <w:rsid w:val="00F13AB4"/>
    <w:rsid w:val="00F14533"/>
    <w:rsid w:val="00F14626"/>
    <w:rsid w:val="00F1465D"/>
    <w:rsid w:val="00F147F8"/>
    <w:rsid w:val="00F14AC3"/>
    <w:rsid w:val="00F15064"/>
    <w:rsid w:val="00F1537A"/>
    <w:rsid w:val="00F15547"/>
    <w:rsid w:val="00F1561A"/>
    <w:rsid w:val="00F15FC8"/>
    <w:rsid w:val="00F162B1"/>
    <w:rsid w:val="00F17080"/>
    <w:rsid w:val="00F17227"/>
    <w:rsid w:val="00F17394"/>
    <w:rsid w:val="00F2015A"/>
    <w:rsid w:val="00F203B8"/>
    <w:rsid w:val="00F203F2"/>
    <w:rsid w:val="00F20B36"/>
    <w:rsid w:val="00F210A5"/>
    <w:rsid w:val="00F215FD"/>
    <w:rsid w:val="00F217C2"/>
    <w:rsid w:val="00F22727"/>
    <w:rsid w:val="00F2275A"/>
    <w:rsid w:val="00F23813"/>
    <w:rsid w:val="00F23F38"/>
    <w:rsid w:val="00F23F6A"/>
    <w:rsid w:val="00F24309"/>
    <w:rsid w:val="00F2467A"/>
    <w:rsid w:val="00F24899"/>
    <w:rsid w:val="00F2494C"/>
    <w:rsid w:val="00F24B02"/>
    <w:rsid w:val="00F24B5E"/>
    <w:rsid w:val="00F24FFA"/>
    <w:rsid w:val="00F255CD"/>
    <w:rsid w:val="00F257EF"/>
    <w:rsid w:val="00F263C0"/>
    <w:rsid w:val="00F26A27"/>
    <w:rsid w:val="00F26BE7"/>
    <w:rsid w:val="00F26C2F"/>
    <w:rsid w:val="00F26D93"/>
    <w:rsid w:val="00F26F0A"/>
    <w:rsid w:val="00F27133"/>
    <w:rsid w:val="00F276A0"/>
    <w:rsid w:val="00F27821"/>
    <w:rsid w:val="00F279A6"/>
    <w:rsid w:val="00F27C45"/>
    <w:rsid w:val="00F3001C"/>
    <w:rsid w:val="00F300E6"/>
    <w:rsid w:val="00F301BA"/>
    <w:rsid w:val="00F308DF"/>
    <w:rsid w:val="00F31317"/>
    <w:rsid w:val="00F31601"/>
    <w:rsid w:val="00F31E78"/>
    <w:rsid w:val="00F31F33"/>
    <w:rsid w:val="00F3263F"/>
    <w:rsid w:val="00F327E1"/>
    <w:rsid w:val="00F33799"/>
    <w:rsid w:val="00F33802"/>
    <w:rsid w:val="00F33B5D"/>
    <w:rsid w:val="00F34BFC"/>
    <w:rsid w:val="00F34D6F"/>
    <w:rsid w:val="00F3541F"/>
    <w:rsid w:val="00F35849"/>
    <w:rsid w:val="00F35947"/>
    <w:rsid w:val="00F359DD"/>
    <w:rsid w:val="00F35D07"/>
    <w:rsid w:val="00F35EA4"/>
    <w:rsid w:val="00F35EFA"/>
    <w:rsid w:val="00F36CB6"/>
    <w:rsid w:val="00F36E0F"/>
    <w:rsid w:val="00F37175"/>
    <w:rsid w:val="00F37CBE"/>
    <w:rsid w:val="00F4046D"/>
    <w:rsid w:val="00F40A3D"/>
    <w:rsid w:val="00F4152A"/>
    <w:rsid w:val="00F41763"/>
    <w:rsid w:val="00F417B0"/>
    <w:rsid w:val="00F418F3"/>
    <w:rsid w:val="00F420FC"/>
    <w:rsid w:val="00F42108"/>
    <w:rsid w:val="00F421BE"/>
    <w:rsid w:val="00F4235A"/>
    <w:rsid w:val="00F42C17"/>
    <w:rsid w:val="00F433B6"/>
    <w:rsid w:val="00F43F3A"/>
    <w:rsid w:val="00F43F83"/>
    <w:rsid w:val="00F4412C"/>
    <w:rsid w:val="00F44235"/>
    <w:rsid w:val="00F44750"/>
    <w:rsid w:val="00F44D02"/>
    <w:rsid w:val="00F468DB"/>
    <w:rsid w:val="00F46ACF"/>
    <w:rsid w:val="00F47BE3"/>
    <w:rsid w:val="00F47E71"/>
    <w:rsid w:val="00F47F5B"/>
    <w:rsid w:val="00F50F0E"/>
    <w:rsid w:val="00F513CE"/>
    <w:rsid w:val="00F5155E"/>
    <w:rsid w:val="00F51632"/>
    <w:rsid w:val="00F51BA5"/>
    <w:rsid w:val="00F51E08"/>
    <w:rsid w:val="00F526AA"/>
    <w:rsid w:val="00F52A7F"/>
    <w:rsid w:val="00F52BD0"/>
    <w:rsid w:val="00F52DDF"/>
    <w:rsid w:val="00F53421"/>
    <w:rsid w:val="00F53631"/>
    <w:rsid w:val="00F5440B"/>
    <w:rsid w:val="00F546B6"/>
    <w:rsid w:val="00F547BA"/>
    <w:rsid w:val="00F54869"/>
    <w:rsid w:val="00F54AAA"/>
    <w:rsid w:val="00F55156"/>
    <w:rsid w:val="00F554D9"/>
    <w:rsid w:val="00F554E8"/>
    <w:rsid w:val="00F55C68"/>
    <w:rsid w:val="00F562B0"/>
    <w:rsid w:val="00F56476"/>
    <w:rsid w:val="00F5649B"/>
    <w:rsid w:val="00F565C2"/>
    <w:rsid w:val="00F56707"/>
    <w:rsid w:val="00F56962"/>
    <w:rsid w:val="00F56F04"/>
    <w:rsid w:val="00F5768A"/>
    <w:rsid w:val="00F604DF"/>
    <w:rsid w:val="00F6078F"/>
    <w:rsid w:val="00F6091B"/>
    <w:rsid w:val="00F61194"/>
    <w:rsid w:val="00F61263"/>
    <w:rsid w:val="00F613D7"/>
    <w:rsid w:val="00F62471"/>
    <w:rsid w:val="00F62A2B"/>
    <w:rsid w:val="00F62B0B"/>
    <w:rsid w:val="00F632D0"/>
    <w:rsid w:val="00F6352F"/>
    <w:rsid w:val="00F63D27"/>
    <w:rsid w:val="00F63FCA"/>
    <w:rsid w:val="00F6449D"/>
    <w:rsid w:val="00F653B8"/>
    <w:rsid w:val="00F65BF8"/>
    <w:rsid w:val="00F660F2"/>
    <w:rsid w:val="00F661DC"/>
    <w:rsid w:val="00F662EC"/>
    <w:rsid w:val="00F66D63"/>
    <w:rsid w:val="00F66DFF"/>
    <w:rsid w:val="00F6707C"/>
    <w:rsid w:val="00F670F7"/>
    <w:rsid w:val="00F671C1"/>
    <w:rsid w:val="00F6794C"/>
    <w:rsid w:val="00F679B5"/>
    <w:rsid w:val="00F67A54"/>
    <w:rsid w:val="00F67D08"/>
    <w:rsid w:val="00F67D3D"/>
    <w:rsid w:val="00F700D3"/>
    <w:rsid w:val="00F704F2"/>
    <w:rsid w:val="00F7086D"/>
    <w:rsid w:val="00F708AC"/>
    <w:rsid w:val="00F708FF"/>
    <w:rsid w:val="00F70A7C"/>
    <w:rsid w:val="00F7120E"/>
    <w:rsid w:val="00F7241A"/>
    <w:rsid w:val="00F72972"/>
    <w:rsid w:val="00F72C6C"/>
    <w:rsid w:val="00F73933"/>
    <w:rsid w:val="00F73D42"/>
    <w:rsid w:val="00F74308"/>
    <w:rsid w:val="00F7446F"/>
    <w:rsid w:val="00F744F8"/>
    <w:rsid w:val="00F7481C"/>
    <w:rsid w:val="00F755F2"/>
    <w:rsid w:val="00F75979"/>
    <w:rsid w:val="00F76107"/>
    <w:rsid w:val="00F763DC"/>
    <w:rsid w:val="00F76881"/>
    <w:rsid w:val="00F76928"/>
    <w:rsid w:val="00F76D77"/>
    <w:rsid w:val="00F8007D"/>
    <w:rsid w:val="00F80B67"/>
    <w:rsid w:val="00F80E57"/>
    <w:rsid w:val="00F81344"/>
    <w:rsid w:val="00F81700"/>
    <w:rsid w:val="00F8192A"/>
    <w:rsid w:val="00F81A06"/>
    <w:rsid w:val="00F81D5D"/>
    <w:rsid w:val="00F82383"/>
    <w:rsid w:val="00F8258E"/>
    <w:rsid w:val="00F826BC"/>
    <w:rsid w:val="00F82D00"/>
    <w:rsid w:val="00F82FAE"/>
    <w:rsid w:val="00F83388"/>
    <w:rsid w:val="00F83546"/>
    <w:rsid w:val="00F8362A"/>
    <w:rsid w:val="00F8362C"/>
    <w:rsid w:val="00F8410D"/>
    <w:rsid w:val="00F841C1"/>
    <w:rsid w:val="00F8421A"/>
    <w:rsid w:val="00F8572E"/>
    <w:rsid w:val="00F85B8B"/>
    <w:rsid w:val="00F85EFA"/>
    <w:rsid w:val="00F86010"/>
    <w:rsid w:val="00F8651A"/>
    <w:rsid w:val="00F86EF8"/>
    <w:rsid w:val="00F86FD4"/>
    <w:rsid w:val="00F87112"/>
    <w:rsid w:val="00F87406"/>
    <w:rsid w:val="00F87FF8"/>
    <w:rsid w:val="00F90303"/>
    <w:rsid w:val="00F90402"/>
    <w:rsid w:val="00F905DF"/>
    <w:rsid w:val="00F90864"/>
    <w:rsid w:val="00F90E68"/>
    <w:rsid w:val="00F91BAA"/>
    <w:rsid w:val="00F9236A"/>
    <w:rsid w:val="00F927AB"/>
    <w:rsid w:val="00F92C02"/>
    <w:rsid w:val="00F93F28"/>
    <w:rsid w:val="00F94323"/>
    <w:rsid w:val="00F946A6"/>
    <w:rsid w:val="00F94767"/>
    <w:rsid w:val="00F94EE7"/>
    <w:rsid w:val="00F961DD"/>
    <w:rsid w:val="00F96353"/>
    <w:rsid w:val="00F96F32"/>
    <w:rsid w:val="00F97154"/>
    <w:rsid w:val="00F97482"/>
    <w:rsid w:val="00F97B07"/>
    <w:rsid w:val="00F97C02"/>
    <w:rsid w:val="00FA0407"/>
    <w:rsid w:val="00FA0678"/>
    <w:rsid w:val="00FA06DA"/>
    <w:rsid w:val="00FA0ACD"/>
    <w:rsid w:val="00FA0C37"/>
    <w:rsid w:val="00FA14AA"/>
    <w:rsid w:val="00FA1FDE"/>
    <w:rsid w:val="00FA204A"/>
    <w:rsid w:val="00FA207B"/>
    <w:rsid w:val="00FA25A6"/>
    <w:rsid w:val="00FA2AF3"/>
    <w:rsid w:val="00FA2F22"/>
    <w:rsid w:val="00FA487F"/>
    <w:rsid w:val="00FA5000"/>
    <w:rsid w:val="00FA5037"/>
    <w:rsid w:val="00FA535D"/>
    <w:rsid w:val="00FA56F2"/>
    <w:rsid w:val="00FA5B01"/>
    <w:rsid w:val="00FA5B9C"/>
    <w:rsid w:val="00FA630F"/>
    <w:rsid w:val="00FA67AD"/>
    <w:rsid w:val="00FA685C"/>
    <w:rsid w:val="00FA6B98"/>
    <w:rsid w:val="00FA6C58"/>
    <w:rsid w:val="00FA6DC3"/>
    <w:rsid w:val="00FA7055"/>
    <w:rsid w:val="00FA7109"/>
    <w:rsid w:val="00FA7557"/>
    <w:rsid w:val="00FA7ADD"/>
    <w:rsid w:val="00FA7C30"/>
    <w:rsid w:val="00FA7F21"/>
    <w:rsid w:val="00FB0B5A"/>
    <w:rsid w:val="00FB1038"/>
    <w:rsid w:val="00FB1305"/>
    <w:rsid w:val="00FB2065"/>
    <w:rsid w:val="00FB226F"/>
    <w:rsid w:val="00FB29F9"/>
    <w:rsid w:val="00FB2AA4"/>
    <w:rsid w:val="00FB2CBD"/>
    <w:rsid w:val="00FB2EC3"/>
    <w:rsid w:val="00FB2FB9"/>
    <w:rsid w:val="00FB3329"/>
    <w:rsid w:val="00FB33C5"/>
    <w:rsid w:val="00FB34FB"/>
    <w:rsid w:val="00FB3568"/>
    <w:rsid w:val="00FB3619"/>
    <w:rsid w:val="00FB40A8"/>
    <w:rsid w:val="00FB4231"/>
    <w:rsid w:val="00FB42F8"/>
    <w:rsid w:val="00FB4528"/>
    <w:rsid w:val="00FB50AC"/>
    <w:rsid w:val="00FB50C6"/>
    <w:rsid w:val="00FB55DA"/>
    <w:rsid w:val="00FB5857"/>
    <w:rsid w:val="00FB5977"/>
    <w:rsid w:val="00FB6604"/>
    <w:rsid w:val="00FB6A60"/>
    <w:rsid w:val="00FB6E36"/>
    <w:rsid w:val="00FB6EEA"/>
    <w:rsid w:val="00FB7036"/>
    <w:rsid w:val="00FB770E"/>
    <w:rsid w:val="00FB78A6"/>
    <w:rsid w:val="00FB7B68"/>
    <w:rsid w:val="00FC033D"/>
    <w:rsid w:val="00FC06DE"/>
    <w:rsid w:val="00FC0E3E"/>
    <w:rsid w:val="00FC1734"/>
    <w:rsid w:val="00FC1DFB"/>
    <w:rsid w:val="00FC1F74"/>
    <w:rsid w:val="00FC1F9B"/>
    <w:rsid w:val="00FC2071"/>
    <w:rsid w:val="00FC21A6"/>
    <w:rsid w:val="00FC263F"/>
    <w:rsid w:val="00FC282D"/>
    <w:rsid w:val="00FC2860"/>
    <w:rsid w:val="00FC2CA7"/>
    <w:rsid w:val="00FC3BD8"/>
    <w:rsid w:val="00FC3D1A"/>
    <w:rsid w:val="00FC4229"/>
    <w:rsid w:val="00FC42F1"/>
    <w:rsid w:val="00FC4D8D"/>
    <w:rsid w:val="00FC5772"/>
    <w:rsid w:val="00FC7167"/>
    <w:rsid w:val="00FC7234"/>
    <w:rsid w:val="00FC730D"/>
    <w:rsid w:val="00FC7A95"/>
    <w:rsid w:val="00FC7AA1"/>
    <w:rsid w:val="00FC7C93"/>
    <w:rsid w:val="00FD06AB"/>
    <w:rsid w:val="00FD071D"/>
    <w:rsid w:val="00FD09A1"/>
    <w:rsid w:val="00FD0B9A"/>
    <w:rsid w:val="00FD0EFC"/>
    <w:rsid w:val="00FD104B"/>
    <w:rsid w:val="00FD10F0"/>
    <w:rsid w:val="00FD1AC0"/>
    <w:rsid w:val="00FD1AF6"/>
    <w:rsid w:val="00FD2B2B"/>
    <w:rsid w:val="00FD2D13"/>
    <w:rsid w:val="00FD2F66"/>
    <w:rsid w:val="00FD3023"/>
    <w:rsid w:val="00FD3030"/>
    <w:rsid w:val="00FD378A"/>
    <w:rsid w:val="00FD3952"/>
    <w:rsid w:val="00FD3966"/>
    <w:rsid w:val="00FD3A66"/>
    <w:rsid w:val="00FD3FB8"/>
    <w:rsid w:val="00FD416D"/>
    <w:rsid w:val="00FD4266"/>
    <w:rsid w:val="00FD43A1"/>
    <w:rsid w:val="00FD4C44"/>
    <w:rsid w:val="00FD500B"/>
    <w:rsid w:val="00FD55D2"/>
    <w:rsid w:val="00FD5F3D"/>
    <w:rsid w:val="00FD610B"/>
    <w:rsid w:val="00FD6137"/>
    <w:rsid w:val="00FD639F"/>
    <w:rsid w:val="00FD64F7"/>
    <w:rsid w:val="00FD6D54"/>
    <w:rsid w:val="00FD6F78"/>
    <w:rsid w:val="00FD78FC"/>
    <w:rsid w:val="00FD7A6D"/>
    <w:rsid w:val="00FE03CC"/>
    <w:rsid w:val="00FE0933"/>
    <w:rsid w:val="00FE0974"/>
    <w:rsid w:val="00FE099F"/>
    <w:rsid w:val="00FE1105"/>
    <w:rsid w:val="00FE11F9"/>
    <w:rsid w:val="00FE12A0"/>
    <w:rsid w:val="00FE1BE1"/>
    <w:rsid w:val="00FE1ED7"/>
    <w:rsid w:val="00FE2033"/>
    <w:rsid w:val="00FE228E"/>
    <w:rsid w:val="00FE2A16"/>
    <w:rsid w:val="00FE2A94"/>
    <w:rsid w:val="00FE2C69"/>
    <w:rsid w:val="00FE2F28"/>
    <w:rsid w:val="00FE34DF"/>
    <w:rsid w:val="00FE3579"/>
    <w:rsid w:val="00FE4321"/>
    <w:rsid w:val="00FE4F34"/>
    <w:rsid w:val="00FE5134"/>
    <w:rsid w:val="00FE5A50"/>
    <w:rsid w:val="00FE5B62"/>
    <w:rsid w:val="00FE5D11"/>
    <w:rsid w:val="00FE5F3B"/>
    <w:rsid w:val="00FE60A7"/>
    <w:rsid w:val="00FE65F4"/>
    <w:rsid w:val="00FE6918"/>
    <w:rsid w:val="00FE6D9B"/>
    <w:rsid w:val="00FE730C"/>
    <w:rsid w:val="00FE78A9"/>
    <w:rsid w:val="00FF10D5"/>
    <w:rsid w:val="00FF1565"/>
    <w:rsid w:val="00FF1830"/>
    <w:rsid w:val="00FF2095"/>
    <w:rsid w:val="00FF226A"/>
    <w:rsid w:val="00FF2743"/>
    <w:rsid w:val="00FF2A01"/>
    <w:rsid w:val="00FF2CEE"/>
    <w:rsid w:val="00FF2FB8"/>
    <w:rsid w:val="00FF3450"/>
    <w:rsid w:val="00FF3BAB"/>
    <w:rsid w:val="00FF3CE0"/>
    <w:rsid w:val="00FF3E96"/>
    <w:rsid w:val="00FF43CF"/>
    <w:rsid w:val="00FF4955"/>
    <w:rsid w:val="00FF4A1F"/>
    <w:rsid w:val="00FF4B0B"/>
    <w:rsid w:val="00FF520D"/>
    <w:rsid w:val="00FF539C"/>
    <w:rsid w:val="00FF5FB5"/>
    <w:rsid w:val="00FF6097"/>
    <w:rsid w:val="00FF63F7"/>
    <w:rsid w:val="00FF641E"/>
    <w:rsid w:val="00FF65CA"/>
    <w:rsid w:val="00FF6894"/>
    <w:rsid w:val="00FF68B7"/>
    <w:rsid w:val="00FF7035"/>
    <w:rsid w:val="00FF704D"/>
    <w:rsid w:val="00FF74B6"/>
    <w:rsid w:val="00FF74DD"/>
    <w:rsid w:val="00FF7650"/>
    <w:rsid w:val="00FF7982"/>
    <w:rsid w:val="00FF7D0D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02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75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3F39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3F39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rsid w:val="0001523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237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1523D"/>
  </w:style>
  <w:style w:type="paragraph" w:styleId="Header">
    <w:name w:val="header"/>
    <w:basedOn w:val="Normal"/>
    <w:link w:val="HeaderChar"/>
    <w:uiPriority w:val="99"/>
    <w:rsid w:val="0001523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B6A6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70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2371"/>
    <w:rPr>
      <w:sz w:val="2"/>
      <w:szCs w:val="2"/>
    </w:rPr>
  </w:style>
  <w:style w:type="paragraph" w:styleId="BlockText">
    <w:name w:val="Block Text"/>
    <w:basedOn w:val="Normal"/>
    <w:uiPriority w:val="99"/>
    <w:rsid w:val="007C1D10"/>
    <w:pPr>
      <w:spacing w:line="420" w:lineRule="auto"/>
      <w:ind w:left="-545" w:right="-2592" w:firstLine="545"/>
      <w:jc w:val="both"/>
    </w:pPr>
    <w:rPr>
      <w:sz w:val="28"/>
      <w:szCs w:val="28"/>
    </w:rPr>
  </w:style>
  <w:style w:type="character" w:customStyle="1" w:styleId="adm">
    <w:name w:val="adm"/>
    <w:uiPriority w:val="99"/>
    <w:semiHidden/>
    <w:rsid w:val="0042128C"/>
    <w:rPr>
      <w:rFonts w:ascii="Arial" w:hAnsi="Arial" w:cs="Arial"/>
      <w:color w:val="000080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875D1"/>
    <w:pPr>
      <w:spacing w:before="320"/>
      <w:ind w:right="-2592" w:firstLine="545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16F6D"/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9B084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A00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00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2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00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2371"/>
    <w:rPr>
      <w:b/>
      <w:bCs/>
    </w:rPr>
  </w:style>
  <w:style w:type="paragraph" w:styleId="FootnoteText">
    <w:name w:val="footnote text"/>
    <w:basedOn w:val="Normal"/>
    <w:link w:val="FootnoteTextChar1"/>
    <w:uiPriority w:val="99"/>
    <w:semiHidden/>
    <w:rsid w:val="00A002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5696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link w:val="FootnoteText"/>
    <w:uiPriority w:val="99"/>
    <w:semiHidden/>
    <w:locked/>
    <w:rsid w:val="00FA56F2"/>
  </w:style>
  <w:style w:type="character" w:styleId="FootnoteReference">
    <w:name w:val="footnote reference"/>
    <w:basedOn w:val="DefaultParagraphFont"/>
    <w:uiPriority w:val="99"/>
    <w:semiHidden/>
    <w:rsid w:val="00A002D7"/>
    <w:rPr>
      <w:vertAlign w:val="superscript"/>
    </w:rPr>
  </w:style>
  <w:style w:type="paragraph" w:customStyle="1" w:styleId="FR1">
    <w:name w:val="FR1"/>
    <w:uiPriority w:val="99"/>
    <w:rsid w:val="00AD02E3"/>
    <w:pPr>
      <w:autoSpaceDE w:val="0"/>
      <w:autoSpaceDN w:val="0"/>
      <w:adjustRightInd w:val="0"/>
      <w:spacing w:line="440" w:lineRule="auto"/>
      <w:ind w:firstLine="600"/>
      <w:jc w:val="both"/>
    </w:pPr>
    <w:rPr>
      <w:sz w:val="20"/>
      <w:szCs w:val="20"/>
    </w:rPr>
  </w:style>
  <w:style w:type="character" w:styleId="Emphasis">
    <w:name w:val="Emphasis"/>
    <w:basedOn w:val="DefaultParagraphFont"/>
    <w:uiPriority w:val="99"/>
    <w:qFormat/>
    <w:rsid w:val="00DF64A3"/>
    <w:rPr>
      <w:i/>
      <w:iCs/>
    </w:rPr>
  </w:style>
  <w:style w:type="paragraph" w:styleId="BodyTextIndent">
    <w:name w:val="Body Text Indent"/>
    <w:basedOn w:val="Normal"/>
    <w:link w:val="BodyTextIndentChar"/>
    <w:uiPriority w:val="99"/>
    <w:rsid w:val="00DF64A3"/>
    <w:pPr>
      <w:spacing w:line="360" w:lineRule="exact"/>
      <w:ind w:right="-1656" w:firstLine="709"/>
      <w:jc w:val="both"/>
    </w:pPr>
    <w:rPr>
      <w:color w:val="FF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237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F64A3"/>
    <w:pPr>
      <w:ind w:right="-1656" w:firstLine="709"/>
      <w:jc w:val="both"/>
    </w:pPr>
    <w:rPr>
      <w:color w:val="000000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92371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DF64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92371"/>
    <w:rPr>
      <w:sz w:val="2"/>
      <w:szCs w:val="2"/>
    </w:rPr>
  </w:style>
  <w:style w:type="paragraph" w:styleId="TOC1">
    <w:name w:val="toc 1"/>
    <w:basedOn w:val="Normal"/>
    <w:next w:val="Normal"/>
    <w:autoRedefine/>
    <w:uiPriority w:val="99"/>
    <w:semiHidden/>
    <w:rsid w:val="000E0D14"/>
  </w:style>
  <w:style w:type="paragraph" w:styleId="TOC2">
    <w:name w:val="toc 2"/>
    <w:basedOn w:val="Normal"/>
    <w:next w:val="Normal"/>
    <w:autoRedefine/>
    <w:uiPriority w:val="99"/>
    <w:semiHidden/>
    <w:rsid w:val="000E0D14"/>
    <w:pPr>
      <w:ind w:left="240"/>
    </w:pPr>
  </w:style>
  <w:style w:type="character" w:styleId="Hyperlink">
    <w:name w:val="Hyperlink"/>
    <w:basedOn w:val="DefaultParagraphFont"/>
    <w:uiPriority w:val="99"/>
    <w:rsid w:val="000E0D14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EF6B3E"/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locked/>
    <w:rsid w:val="00EF6B3E"/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F6B3E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F6B3E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F6B3E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6B3E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LineNumber">
    <w:name w:val="line number"/>
    <w:basedOn w:val="DefaultParagraphFont"/>
    <w:uiPriority w:val="99"/>
    <w:rsid w:val="007606CB"/>
  </w:style>
  <w:style w:type="character" w:customStyle="1" w:styleId="2">
    <w:name w:val="Знак Знак2"/>
    <w:uiPriority w:val="99"/>
    <w:semiHidden/>
    <w:locked/>
    <w:rsid w:val="0066724E"/>
    <w:rPr>
      <w:lang w:val="ru-RU" w:eastAsia="ru-RU"/>
    </w:rPr>
  </w:style>
  <w:style w:type="character" w:customStyle="1" w:styleId="9">
    <w:name w:val="Знак Знак9"/>
    <w:uiPriority w:val="99"/>
    <w:locked/>
    <w:rsid w:val="0066724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table" w:styleId="TableGrid1">
    <w:name w:val="Table Grid 1"/>
    <w:basedOn w:val="TableNormal"/>
    <w:uiPriority w:val="99"/>
    <w:rsid w:val="00F37175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lk">
    <w:name w:val="blk"/>
    <w:basedOn w:val="DefaultParagraphFont"/>
    <w:uiPriority w:val="99"/>
    <w:rsid w:val="0007394B"/>
  </w:style>
  <w:style w:type="table" w:styleId="TableGrid">
    <w:name w:val="Table Grid"/>
    <w:basedOn w:val="TableNormal"/>
    <w:uiPriority w:val="99"/>
    <w:rsid w:val="001526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E3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E32D2"/>
    <w:rPr>
      <w:sz w:val="24"/>
      <w:szCs w:val="24"/>
    </w:rPr>
  </w:style>
  <w:style w:type="character" w:customStyle="1" w:styleId="copytarget">
    <w:name w:val="copy_target"/>
    <w:uiPriority w:val="99"/>
    <w:rsid w:val="003E3727"/>
  </w:style>
  <w:style w:type="paragraph" w:styleId="EndnoteText">
    <w:name w:val="endnote text"/>
    <w:basedOn w:val="Normal"/>
    <w:link w:val="EndnoteTextChar"/>
    <w:uiPriority w:val="99"/>
    <w:semiHidden/>
    <w:rsid w:val="006D23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D2330"/>
  </w:style>
  <w:style w:type="character" w:styleId="EndnoteReference">
    <w:name w:val="endnote reference"/>
    <w:basedOn w:val="DefaultParagraphFont"/>
    <w:uiPriority w:val="99"/>
    <w:semiHidden/>
    <w:rsid w:val="006D23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/document/cons_doc_LAW_10699/2f173b55819e4d8a638ed9a2ffa63ba12f0fd7a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300</TotalTime>
  <Pages>19</Pages>
  <Words>6730</Words>
  <Characters>-32766</Characters>
  <Application>Microsoft Office Outlook</Application>
  <DocSecurity>0</DocSecurity>
  <Lines>0</Lines>
  <Paragraphs>0</Paragraphs>
  <ScaleCrop>false</ScaleCrop>
  <Company>ГАС "ПРАВОСУДИЕ"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subject/>
  <dc:creator>Егоров Юрий Сергеевич</dc:creator>
  <cp:keywords/>
  <dc:description/>
  <cp:lastModifiedBy>Судебная система РД</cp:lastModifiedBy>
  <cp:revision>10</cp:revision>
  <cp:lastPrinted>2025-03-10T11:49:00Z</cp:lastPrinted>
  <dcterms:created xsi:type="dcterms:W3CDTF">2025-03-12T07:37:00Z</dcterms:created>
  <dcterms:modified xsi:type="dcterms:W3CDTF">2025-03-17T13:36:00Z</dcterms:modified>
</cp:coreProperties>
</file>