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DB" w:rsidRPr="00487CDB" w:rsidRDefault="00487CDB" w:rsidP="00487CDB">
      <w:pPr>
        <w:spacing w:after="0" w:line="240" w:lineRule="auto"/>
        <w:ind w:left="4820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487CDB" w:rsidRPr="00487CDB" w:rsidRDefault="00487CDB" w:rsidP="00487CD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Default="00487CDB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0558D8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</w:t>
      </w:r>
      <w:r w:rsidR="00487CDB"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Судебного </w:t>
      </w:r>
    </w:p>
    <w:p w:rsidR="00487CDB" w:rsidRPr="00487CDB" w:rsidRDefault="00487CDB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в Челябинской области</w:t>
      </w:r>
    </w:p>
    <w:p w:rsidR="00487CDB" w:rsidRPr="00487CDB" w:rsidRDefault="00487CDB" w:rsidP="00487CDB">
      <w:pPr>
        <w:tabs>
          <w:tab w:val="left" w:pos="850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0558D8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7CDB"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7CDB"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Осиповой</w:t>
      </w:r>
      <w:bookmarkStart w:id="0" w:name="_GoBack"/>
      <w:bookmarkEnd w:id="0"/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tabs>
          <w:tab w:val="left" w:pos="8647"/>
        </w:tabs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(фамилия, имя, отчество полностью)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7CDB" w:rsidRPr="00487CDB" w:rsidRDefault="00487CDB" w:rsidP="00487CD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представляющего (ей)  интересы несовершеннолетнего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(фамилия, имя, отчество несовершеннолетнего)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__________________</w:t>
      </w:r>
    </w:p>
    <w:p w:rsidR="00487CDB" w:rsidRPr="00487CDB" w:rsidRDefault="00487CDB" w:rsidP="00487CDB">
      <w:pPr>
        <w:tabs>
          <w:tab w:val="left" w:pos="6096"/>
        </w:tabs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 </w:t>
      </w: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гражданина (гражданского служащего) о заключении договора 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целевом обучении </w:t>
      </w:r>
    </w:p>
    <w:p w:rsidR="00487CDB" w:rsidRPr="00487CDB" w:rsidRDefault="00487CDB" w:rsidP="00487CD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полностью)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CDB">
        <w:rPr>
          <w:rFonts w:ascii="Times New Roman" w:hAnsi="Times New Roman" w:cs="Times New Roman"/>
          <w:color w:val="000000"/>
          <w:sz w:val="24"/>
          <w:szCs w:val="24"/>
        </w:rPr>
        <w:t>замещающий</w:t>
      </w:r>
      <w:proofErr w:type="gramEnd"/>
      <w:r w:rsidRPr="00487CDB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должность</w:t>
      </w:r>
      <w:r w:rsidRPr="00487C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487CD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87CDB">
        <w:rPr>
          <w:rFonts w:ascii="Times New Roman" w:hAnsi="Times New Roman" w:cs="Times New Roman"/>
          <w:color w:val="000000"/>
          <w:sz w:val="24"/>
          <w:szCs w:val="24"/>
        </w:rPr>
        <w:t>(должность федеральной государственной гражданской службы)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мою кандидатуру для заключения договора о целевом обучении 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_______________________________________________________________________________________________________________________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образовательной организации или ее филиала полностью)</w:t>
      </w: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подготовки/специальности______________________________________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(код и наименование направления подготовки/специальности, форма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обучения)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CDB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487CDB">
        <w:rPr>
          <w:rFonts w:ascii="Times New Roman" w:hAnsi="Times New Roman" w:cs="Times New Roman"/>
          <w:color w:val="000000"/>
          <w:sz w:val="24"/>
          <w:szCs w:val="24"/>
        </w:rPr>
        <w:t xml:space="preserve"> «О подготовке кадров для федеральной государственной гражданской службы по договорам о целевом обучении».</w:t>
      </w: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  (______________________)                                                                                             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                (Подпись, инициалы, фамилия законного представителя)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______________(_________________)                                                                                            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8F5FF4" w:rsidRDefault="008F5FF4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Дополнительная информация о гражданине, </w:t>
      </w: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                                                                                                   договора о целевом обучении </w:t>
      </w:r>
      <w:proofErr w:type="gramEnd"/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487CDB" w:rsidRPr="00487CDB" w:rsidTr="002D081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487CDB" w:rsidRPr="00487CDB" w:rsidTr="002D081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487CDB" w:rsidRPr="00487CDB" w:rsidTr="002D081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487CDB" w:rsidRPr="00487CDB" w:rsidTr="002D081C">
        <w:trPr>
          <w:trHeight w:val="405"/>
        </w:trPr>
        <w:tc>
          <w:tcPr>
            <w:tcW w:w="1179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179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</w:t>
            </w:r>
            <w:proofErr w:type="gramEnd"/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487CDB" w:rsidRPr="00487CDB" w:rsidTr="002D081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 Л А С И Е</w:t>
      </w: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 я выражаю согласие на обработку своих персональных данных Управлением Судебного департамента в Челябинской области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года № 152-ФЗ «О персональных данных», и подтверждаю, что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давая такое согласие, действую свободно, по своей воле и в своих интересах.</w:t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дается мной в целях планирования моего поступления 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 по целевому приему.</w:t>
      </w:r>
    </w:p>
    <w:p w:rsidR="00487CDB" w:rsidRPr="00487CDB" w:rsidRDefault="00487CDB" w:rsidP="00487CDB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Судебного департамента в Челябинской области вправе передавать в ____________________________________________________________________________ сведения,                                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487CDB" w:rsidRPr="00487CDB" w:rsidRDefault="00487CDB" w:rsidP="0048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 (_________________)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(подпись, инициалы, фамилия законного представителя)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(_________________)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Pr="00487CDB" w:rsidRDefault="00487CDB" w:rsidP="00487CDB">
      <w:pPr>
        <w:spacing w:after="0"/>
        <w:ind w:left="737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/>
        <w:ind w:left="737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 </w:t>
      </w: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Ы В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487CDB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</w:p>
    <w:p w:rsidR="00487CDB" w:rsidRPr="00487CDB" w:rsidRDefault="00487CDB" w:rsidP="00487C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60"/>
        <w:gridCol w:w="4661"/>
        <w:gridCol w:w="4408"/>
      </w:tblGrid>
      <w:tr w:rsidR="00487CDB" w:rsidRPr="00487CDB" w:rsidTr="002D081C">
        <w:tc>
          <w:tcPr>
            <w:tcW w:w="5661" w:type="dxa"/>
            <w:gridSpan w:val="3"/>
          </w:tcPr>
          <w:p w:rsidR="00487CDB" w:rsidRPr="00487CDB" w:rsidRDefault="00487CDB" w:rsidP="00487CDB">
            <w:pPr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1. Фамилия, имя, отчество (при наличии)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5661" w:type="dxa"/>
            <w:gridSpan w:val="3"/>
          </w:tcPr>
          <w:p w:rsidR="00487CDB" w:rsidRPr="00487CDB" w:rsidRDefault="00487CDB" w:rsidP="00487CDB">
            <w:pPr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2. Число, месяц, год рождения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3.</w:t>
            </w:r>
            <w:r w:rsidRPr="00487CDB">
              <w:rPr>
                <w:sz w:val="24"/>
                <w:szCs w:val="24"/>
                <w:lang w:val="en-US"/>
              </w:rPr>
              <w:t> </w:t>
            </w:r>
            <w:r w:rsidRPr="00487CDB">
              <w:rPr>
                <w:sz w:val="24"/>
                <w:szCs w:val="24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right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0069" w:type="dxa"/>
            <w:gridSpan w:val="4"/>
            <w:tcBorders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</w:rPr>
            </w:pP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 xml:space="preserve">6. Отзыв непосредственного руководителя о работе гражданского служащего 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</w:pPr>
            <w:r w:rsidRPr="00487CDB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</w:rPr>
            </w:pP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7.</w:t>
            </w:r>
            <w:r w:rsidRPr="00487CDB">
              <w:rPr>
                <w:sz w:val="24"/>
                <w:szCs w:val="24"/>
                <w:lang w:val="en-US"/>
              </w:rPr>
              <w:t> </w:t>
            </w:r>
            <w:r w:rsidRPr="00487CDB">
              <w:rPr>
                <w:sz w:val="24"/>
                <w:szCs w:val="24"/>
              </w:rPr>
              <w:t xml:space="preserve">Оценка целесообразности направления на </w:t>
            </w:r>
            <w:proofErr w:type="gramStart"/>
            <w:r w:rsidRPr="00487CDB">
              <w:rPr>
                <w:sz w:val="24"/>
                <w:szCs w:val="24"/>
              </w:rPr>
              <w:t>обучение по программе</w:t>
            </w:r>
            <w:proofErr w:type="gramEnd"/>
            <w:r w:rsidRPr="00487CDB">
              <w:rPr>
                <w:sz w:val="24"/>
                <w:szCs w:val="24"/>
              </w:rPr>
              <w:t xml:space="preserve"> 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  <w:vertAlign w:val="subscript"/>
              </w:rPr>
            </w:pPr>
            <w:r w:rsidRPr="00487CDB">
              <w:rPr>
                <w:sz w:val="24"/>
                <w:szCs w:val="24"/>
                <w:vertAlign w:val="subscript"/>
              </w:rPr>
              <w:t xml:space="preserve">     (</w:t>
            </w:r>
            <w:proofErr w:type="spellStart"/>
            <w:r w:rsidRPr="00487CDB">
              <w:rPr>
                <w:sz w:val="24"/>
                <w:szCs w:val="24"/>
                <w:vertAlign w:val="subscript"/>
              </w:rPr>
              <w:t>бакалавриата</w:t>
            </w:r>
            <w:proofErr w:type="spellEnd"/>
            <w:r w:rsidRPr="00487CDB">
              <w:rPr>
                <w:sz w:val="24"/>
                <w:szCs w:val="24"/>
                <w:vertAlign w:val="subscript"/>
              </w:rPr>
              <w:t>/ магистратуры/</w:t>
            </w:r>
            <w:proofErr w:type="spellStart"/>
            <w:r w:rsidRPr="00487CDB">
              <w:rPr>
                <w:sz w:val="24"/>
                <w:szCs w:val="24"/>
                <w:vertAlign w:val="subscript"/>
              </w:rPr>
              <w:t>специалитета</w:t>
            </w:r>
            <w:proofErr w:type="spellEnd"/>
            <w:r w:rsidRPr="00487CDB">
              <w:rPr>
                <w:sz w:val="24"/>
                <w:szCs w:val="24"/>
                <w:vertAlign w:val="subscript"/>
              </w:rPr>
              <w:t>)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  <w:vertAlign w:val="subscript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540" w:type="dxa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 xml:space="preserve">Целесообразно  </w:t>
            </w: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Нецелесообразно</w:t>
            </w: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7"/>
        <w:gridCol w:w="236"/>
        <w:gridCol w:w="2693"/>
        <w:gridCol w:w="283"/>
      </w:tblGrid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4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487CDB" w:rsidRPr="00487CDB" w:rsidTr="002D081C">
        <w:tc>
          <w:tcPr>
            <w:tcW w:w="4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   г.</w:t>
            </w:r>
          </w:p>
        </w:tc>
      </w:tr>
    </w:tbl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8"/>
        <w:gridCol w:w="284"/>
        <w:gridCol w:w="2693"/>
        <w:gridCol w:w="340"/>
      </w:tblGrid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отзывом </w:t>
            </w:r>
            <w:proofErr w:type="gramStart"/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3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департаментом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информацией об ограничениях и запретах, предусмотренных статьями 16 и 17 Федерального закона от 27 июля 2004 № 79-ФЗ «О государственной гражданской службе Российской Федерации» (далее – Федеральный закон от 27 июля 2004 г. № 79-ФЗ), требованиями </w:t>
      </w:r>
      <w:r w:rsidRPr="00487CDB">
        <w:rPr>
          <w:rFonts w:ascii="Times New Roman" w:hAnsi="Times New Roman" w:cs="Times New Roman"/>
          <w:sz w:val="26"/>
          <w:szCs w:val="26"/>
        </w:rPr>
        <w:t>Федерального закона от 25 декабря 2008 г. № 273-ФЗ «О противодействии коррупции»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7CDB">
        <w:rPr>
          <w:rFonts w:ascii="Times New Roman" w:hAnsi="Times New Roman" w:cs="Times New Roman"/>
          <w:sz w:val="26"/>
          <w:szCs w:val="26"/>
          <w:u w:val="single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3) отказа от прохождения процедуры оформления допуска к сведениям, составляющим государственную и иную охраняемую федеральным </w:t>
      </w:r>
      <w:hyperlink r:id="rId8" w:history="1">
        <w:r w:rsidRPr="00487C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9" w:history="1">
        <w:r w:rsidRPr="00487CD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прохождения диспансеризации, </w:t>
      </w:r>
      <w:hyperlink r:id="rId10" w:history="1">
        <w:r w:rsidRPr="00487CD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таких заболеваний и </w:t>
      </w:r>
      <w:hyperlink r:id="rId11" w:history="1">
        <w:r w:rsidRPr="00487CDB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плотностью сельского населения, а также в отдаленных и труднодоступных местностях;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6) прекращения гражданства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8) представления подложных документов или заведомо ложных сведений при поступлении на гражданскую службу;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9) непредставления установленных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</w:t>
      </w:r>
      <w:r w:rsidRPr="00487CDB">
        <w:rPr>
          <w:rFonts w:ascii="Times New Roman" w:hAnsi="Times New Roman" w:cs="Times New Roman"/>
          <w:sz w:val="26"/>
          <w:szCs w:val="26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487CDB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2" w:history="1">
        <w:r w:rsidRPr="00487C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 и другими федеральными </w:t>
      </w:r>
      <w:hyperlink r:id="rId13" w:history="1">
        <w:r w:rsidRPr="00487CDB">
          <w:rPr>
            <w:rFonts w:ascii="Times New Roman" w:hAnsi="Times New Roman" w:cs="Times New Roman"/>
            <w:sz w:val="26"/>
            <w:szCs w:val="26"/>
          </w:rPr>
          <w:t>законами</w:t>
        </w:r>
      </w:hyperlink>
      <w:r w:rsidRPr="00487CD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11)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12) непредставления сведений, предусмотренных </w:t>
      </w:r>
      <w:hyperlink r:id="rId14" w:history="1">
        <w:r w:rsidRPr="00487CDB">
          <w:rPr>
            <w:rFonts w:ascii="Times New Roman" w:hAnsi="Times New Roman" w:cs="Times New Roman"/>
            <w:sz w:val="26"/>
            <w:szCs w:val="26"/>
          </w:rPr>
          <w:t>статьей 20.2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487CDB">
        <w:rPr>
          <w:rFonts w:ascii="Times New Roman" w:hAnsi="Times New Roman" w:cs="Times New Roman"/>
          <w:sz w:val="26"/>
          <w:szCs w:val="26"/>
        </w:rPr>
        <w:t>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7CDB">
        <w:rPr>
          <w:rFonts w:ascii="Times New Roman" w:hAnsi="Times New Roman" w:cs="Times New Roman"/>
          <w:sz w:val="26"/>
          <w:szCs w:val="26"/>
          <w:u w:val="single"/>
        </w:rPr>
        <w:t>В связи с прохождением гражданской службы гражданскому служащему запрещается: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замещать должность гражданской службы в случае: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а) избрания или назначения на государственную должность, за исключением случаев, установленных </w:t>
      </w:r>
      <w:hyperlink r:id="rId15" w:history="1">
        <w:r w:rsidRPr="00487CDB">
          <w:rPr>
            <w:rFonts w:ascii="Times New Roman" w:hAnsi="Times New Roman" w:cs="Times New Roman"/>
            <w:sz w:val="26"/>
            <w:szCs w:val="26"/>
          </w:rPr>
          <w:t>частью второй статьи 4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Федерального конституционного закона от 6 ноября 2020 г. № 4-ФКЗ «О Правительстве Российской Федерации» и </w:t>
      </w:r>
      <w:hyperlink r:id="rId16" w:history="1">
        <w:r w:rsidRPr="00487CDB">
          <w:rPr>
            <w:rFonts w:ascii="Times New Roman" w:hAnsi="Times New Roman" w:cs="Times New Roman"/>
            <w:sz w:val="26"/>
            <w:szCs w:val="26"/>
          </w:rPr>
          <w:t>частью девятой статьи 12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Федерального закона от 22 декабря 2020 г. № 437-ФЗ «О федеральной территории «Сириус»;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б) избрания на выборную должность в органе местного самоуправления;</w:t>
      </w:r>
    </w:p>
    <w:p w:rsidR="00487CDB" w:rsidRPr="00487CDB" w:rsidRDefault="00487CDB" w:rsidP="00487C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органа;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в) 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7" w:history="1">
        <w:r w:rsidRPr="00487CDB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487CDB">
        <w:rPr>
          <w:rFonts w:ascii="Times New Roman" w:hAnsi="Times New Roman" w:cs="Times New Roman"/>
          <w:sz w:val="26"/>
          <w:szCs w:val="26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д) 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отношении,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полномочия собственника осуществляют органы публичной власти федеральной территории;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е) иные случаи, предусмотренные международными договорами Российской Федерации или федеральными законами;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 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использовать преимущества должностного положения для предвыборной агитации, а также для агитации по вопросам референдума; 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прекращать исполнение должностных обязанностей в целях урегулирования служебного спора;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</w:t>
      </w:r>
      <w:r w:rsidRPr="00487CDB">
        <w:rPr>
          <w:rFonts w:ascii="Times New Roman" w:hAnsi="Times New Roman" w:cs="Times New Roman"/>
          <w:sz w:val="26"/>
          <w:szCs w:val="26"/>
        </w:rPr>
        <w:lastRenderedPageBreak/>
        <w:t>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При этом понятие «иностранные финансовые инструменты» используется в значении, определенном указанным Федеральным законом.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  <w:u w:val="single"/>
        </w:rPr>
        <w:t>Граждане, претендующие на замещение должностей государственной службы, обязаны представлять представителю нанимателя (работодателю), иным уполномоченным лицам, определенным Федеральным законом от 25 декабря 2008 г, № 273-ФЗ                     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_____________(_____________)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87CDB">
        <w:rPr>
          <w:rFonts w:ascii="Times New Roman" w:hAnsi="Times New Roman" w:cs="Times New Roman"/>
          <w:sz w:val="16"/>
          <w:szCs w:val="16"/>
        </w:rPr>
        <w:t xml:space="preserve">       </w:t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  <w:t xml:space="preserve"> (подпись, инициалы, фамилия)</w:t>
      </w: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Перед заключением договора о целевом обучении гражданин ознакомлен следующей информацией, содержащейся в Федеральном законе 29 декабря 2012 г. № 273-ФЗ «Об образовании в Российской Федерации», Положении целевом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высшего образования, утвержденном постановлением Правительства Российской Федерации от 27 апреля 2024 г. № 555.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</w:t>
      </w:r>
      <w:r w:rsidRPr="00487CDB">
        <w:rPr>
          <w:rFonts w:ascii="Times New Roman" w:hAnsi="Times New Roman" w:cs="Times New Roman"/>
          <w:sz w:val="26"/>
          <w:szCs w:val="26"/>
        </w:rPr>
        <w:lastRenderedPageBreak/>
        <w:t>гражданин выплачивает штраф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 - штраф).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Штраф с гражданина взимается: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трудовой деятельности.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 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hAnsi="Times New Roman" w:cs="Times New Roman"/>
          <w:sz w:val="26"/>
          <w:szCs w:val="26"/>
        </w:rPr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__________(____________________)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4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  <w:sz w:val="26"/>
          <w:szCs w:val="26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Перед заключением договора о целевом обучении 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гражданский служащий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ознакомлен со следующей информацией, содержащейся в Федеральном законе от 29 декабря 2012 г.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№ 273-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ФЗ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Об образовании в Российской Федерации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Положении о целевом </w:t>
      </w: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обучении по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№ 555.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в течение 3 лет, гражданский служащий выплачивает штраф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в размере расходов федерального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- штраф).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Штраф с гражданского служащего взимается: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был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трудовой деятельности.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487CDB" w:rsidRPr="00487CDB" w:rsidRDefault="00487CDB" w:rsidP="00487CDB">
      <w:pPr>
        <w:tabs>
          <w:tab w:val="left" w:pos="25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_________(____________________)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ФИО</w:t>
      </w:r>
    </w:p>
    <w:p w:rsidR="00487CDB" w:rsidRPr="00487CDB" w:rsidRDefault="00487CDB">
      <w:pPr>
        <w:rPr>
          <w:rFonts w:ascii="Times New Roman" w:hAnsi="Times New Roman" w:cs="Times New Roman"/>
          <w:sz w:val="24"/>
          <w:szCs w:val="24"/>
        </w:rPr>
      </w:pPr>
    </w:p>
    <w:sectPr w:rsidR="00487CDB" w:rsidRPr="00487CDB" w:rsidSect="00487CD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7D" w:rsidRDefault="00AB1C7D" w:rsidP="00487CDB">
      <w:pPr>
        <w:spacing w:after="0" w:line="240" w:lineRule="auto"/>
      </w:pPr>
      <w:r>
        <w:separator/>
      </w:r>
    </w:p>
  </w:endnote>
  <w:endnote w:type="continuationSeparator" w:id="0">
    <w:p w:rsidR="00AB1C7D" w:rsidRDefault="00AB1C7D" w:rsidP="004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7D" w:rsidRDefault="00AB1C7D" w:rsidP="00487CDB">
      <w:pPr>
        <w:spacing w:after="0" w:line="240" w:lineRule="auto"/>
      </w:pPr>
      <w:r>
        <w:separator/>
      </w:r>
    </w:p>
  </w:footnote>
  <w:footnote w:type="continuationSeparator" w:id="0">
    <w:p w:rsidR="00AB1C7D" w:rsidRDefault="00AB1C7D" w:rsidP="00487CDB">
      <w:pPr>
        <w:spacing w:after="0" w:line="240" w:lineRule="auto"/>
      </w:pPr>
      <w:r>
        <w:continuationSeparator/>
      </w:r>
    </w:p>
  </w:footnote>
  <w:footnote w:id="1">
    <w:p w:rsidR="00487CDB" w:rsidRPr="00B73AA9" w:rsidRDefault="00487CDB" w:rsidP="00487CDB">
      <w:pPr>
        <w:pStyle w:val="a3"/>
        <w:rPr>
          <w:rFonts w:ascii="Times New Roman" w:hAnsi="Times New Roman"/>
          <w:sz w:val="22"/>
          <w:szCs w:val="22"/>
        </w:rPr>
      </w:pPr>
      <w:r w:rsidRPr="00B73AA9">
        <w:rPr>
          <w:rStyle w:val="a5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  <w:footnote w:id="2">
    <w:p w:rsidR="00487CDB" w:rsidRDefault="00487CDB" w:rsidP="00487CD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 CYR" w:hAnsi="Times New Roman CYR" w:cs="Times New Roman CYR"/>
          <w:color w:val="000000"/>
        </w:rPr>
        <w:t>Указывается в случае подачи заявления гражданским служащим.</w:t>
      </w:r>
    </w:p>
    <w:p w:rsidR="00487CDB" w:rsidRDefault="00487CDB" w:rsidP="00487CD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0C"/>
    <w:rsid w:val="000558D8"/>
    <w:rsid w:val="00487CDB"/>
    <w:rsid w:val="008F5FF4"/>
    <w:rsid w:val="00967B66"/>
    <w:rsid w:val="00AB1C7D"/>
    <w:rsid w:val="00B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C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CDB"/>
    <w:rPr>
      <w:sz w:val="20"/>
      <w:szCs w:val="20"/>
    </w:rPr>
  </w:style>
  <w:style w:type="character" w:styleId="a5">
    <w:name w:val="footnote reference"/>
    <w:uiPriority w:val="99"/>
    <w:unhideWhenUsed/>
    <w:rsid w:val="00487CDB"/>
    <w:rPr>
      <w:vertAlign w:val="superscript"/>
    </w:rPr>
  </w:style>
  <w:style w:type="table" w:styleId="a6">
    <w:name w:val="Table Grid"/>
    <w:basedOn w:val="a1"/>
    <w:uiPriority w:val="59"/>
    <w:rsid w:val="0048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C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CDB"/>
    <w:rPr>
      <w:sz w:val="20"/>
      <w:szCs w:val="20"/>
    </w:rPr>
  </w:style>
  <w:style w:type="character" w:styleId="a5">
    <w:name w:val="footnote reference"/>
    <w:uiPriority w:val="99"/>
    <w:unhideWhenUsed/>
    <w:rsid w:val="00487CDB"/>
    <w:rPr>
      <w:vertAlign w:val="superscript"/>
    </w:rPr>
  </w:style>
  <w:style w:type="table" w:styleId="a6">
    <w:name w:val="Table Grid"/>
    <w:basedOn w:val="a1"/>
    <w:uiPriority w:val="59"/>
    <w:rsid w:val="0048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64AB0FC6D9DE3E4B91E0A154E5EA896CC5C6F603DA4AA662AEAE5AD7CM" TargetMode="External"/><Relationship Id="rId13" Type="http://schemas.openxmlformats.org/officeDocument/2006/relationships/hyperlink" Target="consultantplus://offline/ref=7DFEF85F22D993E4FA3092AD2CBC08D9FA5546B1F960C0E9ECE01208124101AD83DD04626320BAA97B36E8E7DCAE7A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7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10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4" Type="http://schemas.openxmlformats.org/officeDocument/2006/relationships/hyperlink" Target="consultantplus://offline/ref=7DFEF85F22D993E4FA3092AD2CBC08D9FA5546BDF563C0E9ECE01208124101AD91DD5C6D6721AFFD296CBFEADEEB5D97CC11BDD067A87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4963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Дегтива Олеся Степановна</dc:creator>
  <cp:keywords/>
  <dc:description/>
  <cp:lastModifiedBy>Дегтива Олеся Степановна</cp:lastModifiedBy>
  <cp:revision>3</cp:revision>
  <dcterms:created xsi:type="dcterms:W3CDTF">2025-05-06T11:43:00Z</dcterms:created>
  <dcterms:modified xsi:type="dcterms:W3CDTF">2026-05-22T09:11:00Z</dcterms:modified>
</cp:coreProperties>
</file>