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xml:space="preserve">, представляемые судьями и работниками аппаратов </w:t>
      </w:r>
      <w:r w:rsidRPr="00810A50">
        <w:rPr>
          <w:sz w:val="28"/>
          <w:szCs w:val="28"/>
        </w:rPr>
        <w:lastRenderedPageBreak/>
        <w:t>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w:t>
      </w:r>
      <w:r w:rsidRPr="00810A50">
        <w:rPr>
          <w:rStyle w:val="FontStyle27"/>
          <w:sz w:val="28"/>
          <w:szCs w:val="28"/>
        </w:rPr>
        <w:lastRenderedPageBreak/>
        <w:t>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lastRenderedPageBreak/>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w:t>
      </w:r>
      <w:r w:rsidR="009D688C" w:rsidRPr="00810A50">
        <w:rPr>
          <w:rStyle w:val="FontStyle27"/>
          <w:sz w:val="28"/>
          <w:szCs w:val="28"/>
        </w:rPr>
        <w:lastRenderedPageBreak/>
        <w:t>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 xml:space="preserve">Об особенностях исполнения </w:t>
      </w:r>
      <w:r w:rsidRPr="00810A50">
        <w:rPr>
          <w:rFonts w:ascii="Times New Roman" w:hAnsi="Times New Roman"/>
          <w:sz w:val="28"/>
          <w:szCs w:val="28"/>
        </w:rPr>
        <w:lastRenderedPageBreak/>
        <w:t>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8"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со</w:t>
      </w:r>
      <w:r w:rsidRPr="00810A50">
        <w:rPr>
          <w:rStyle w:val="FontStyle27"/>
          <w:sz w:val="28"/>
          <w:szCs w:val="28"/>
        </w:rPr>
        <w:lastRenderedPageBreak/>
        <w:t xml:space="preserve">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своих доходах, расходах, об имуществе и обязательствах имущественного 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lastRenderedPageBreak/>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Указом Президента Российской Федерации от 23 июня 2014 года № 460 утверждена форма справки о доходах, расходах, об имуществе 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lastRenderedPageBreak/>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 xml:space="preserve">том же месяце, когда планируется их подача для участия в конкурсе. Так, </w:t>
      </w:r>
      <w:r w:rsidRPr="00810A50">
        <w:rPr>
          <w:rStyle w:val="FontStyle27"/>
          <w:rFonts w:eastAsia="Times New Roman"/>
          <w:sz w:val="28"/>
          <w:szCs w:val="28"/>
        </w:rPr>
        <w:lastRenderedPageBreak/>
        <w:t>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lastRenderedPageBreak/>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органах записи актов гражданского </w:t>
            </w:r>
            <w:r w:rsidRPr="00810A50">
              <w:rPr>
                <w:rFonts w:ascii="Times New Roman" w:hAnsi="Times New Roman" w:cs="Times New Roman"/>
                <w:sz w:val="28"/>
                <w:szCs w:val="28"/>
              </w:rPr>
              <w:lastRenderedPageBreak/>
              <w:t>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lastRenderedPageBreak/>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w:t>
            </w:r>
            <w:r w:rsidRPr="00810A50">
              <w:rPr>
                <w:rFonts w:ascii="Times New Roman" w:hAnsi="Times New Roman" w:cs="Times New Roman"/>
                <w:sz w:val="28"/>
                <w:szCs w:val="28"/>
              </w:rPr>
              <w:lastRenderedPageBreak/>
              <w:t>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lastRenderedPageBreak/>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Р</w:t>
            </w:r>
            <w:r w:rsidR="00D97159" w:rsidRPr="00810A50">
              <w:rPr>
                <w:rFonts w:ascii="Times New Roman" w:eastAsia="Calibri" w:hAnsi="Times New Roman" w:cs="Times New Roman"/>
                <w:sz w:val="28"/>
                <w:szCs w:val="28"/>
              </w:rPr>
              <w:t>ешение о расторжении 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 xml:space="preserve">гражданин Российской Федерации может самостоятельно осуществлять </w:t>
      </w:r>
      <w:r w:rsidR="00B12C29" w:rsidRPr="00810A50">
        <w:rPr>
          <w:rStyle w:val="FontStyle27"/>
          <w:sz w:val="28"/>
          <w:szCs w:val="28"/>
        </w:rPr>
        <w:lastRenderedPageBreak/>
        <w:t>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w:t>
            </w:r>
            <w:r w:rsidRPr="00810A50">
              <w:rPr>
                <w:rFonts w:ascii="Times New Roman" w:eastAsia="Calibri" w:hAnsi="Times New Roman" w:cs="Times New Roman"/>
                <w:sz w:val="28"/>
                <w:szCs w:val="28"/>
              </w:rPr>
              <w:lastRenderedPageBreak/>
              <w:t>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 xml:space="preserve">Представление </w:t>
      </w:r>
      <w:r w:rsidR="00247AEE" w:rsidRPr="00810A50">
        <w:rPr>
          <w:rStyle w:val="FontStyle27"/>
          <w:rFonts w:eastAsiaTheme="minorEastAsia"/>
          <w:sz w:val="28"/>
          <w:szCs w:val="28"/>
          <w:lang w:eastAsia="ru-RU"/>
        </w:rPr>
        <w:t>сведений в отношении несовершеннолетнег</w:t>
      </w:r>
      <w:r w:rsidRPr="00810A50">
        <w:rPr>
          <w:rStyle w:val="FontStyle27"/>
          <w:rFonts w:eastAsiaTheme="minorEastAsia"/>
          <w:sz w:val="28"/>
          <w:szCs w:val="28"/>
          <w:lang w:eastAsia="ru-RU"/>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rFonts w:eastAsiaTheme="minorEastAsia"/>
          <w:sz w:val="28"/>
          <w:szCs w:val="28"/>
          <w:lang w:eastAsia="ru-RU"/>
        </w:rPr>
        <w:t xml:space="preserve"> является </w:t>
      </w:r>
      <w:r w:rsidR="008568B2" w:rsidRPr="00810A50">
        <w:rPr>
          <w:rStyle w:val="FontStyle27"/>
          <w:rFonts w:eastAsiaTheme="minorEastAsia"/>
          <w:sz w:val="28"/>
          <w:szCs w:val="28"/>
          <w:lang w:eastAsia="ru-RU"/>
        </w:rPr>
        <w:t xml:space="preserve">его </w:t>
      </w:r>
      <w:r w:rsidR="00247AEE" w:rsidRPr="00810A50">
        <w:rPr>
          <w:rStyle w:val="FontStyle27"/>
          <w:rFonts w:eastAsiaTheme="minorEastAsia"/>
          <w:sz w:val="28"/>
          <w:szCs w:val="28"/>
          <w:lang w:eastAsia="ru-RU"/>
        </w:rPr>
        <w:t xml:space="preserve">опекуном (попечителем), </w:t>
      </w:r>
      <w:r w:rsidR="004D5C5A" w:rsidRPr="00810A50">
        <w:rPr>
          <w:rStyle w:val="FontStyle27"/>
          <w:rFonts w:eastAsiaTheme="minorEastAsia"/>
          <w:sz w:val="28"/>
          <w:szCs w:val="28"/>
          <w:lang w:eastAsia="ru-RU"/>
        </w:rPr>
        <w:t xml:space="preserve">или </w:t>
      </w:r>
      <w:r w:rsidR="00247AEE" w:rsidRPr="00810A50">
        <w:rPr>
          <w:rStyle w:val="FontStyle27"/>
          <w:rFonts w:eastAsiaTheme="minorEastAsia"/>
          <w:sz w:val="28"/>
          <w:szCs w:val="28"/>
          <w:lang w:eastAsia="ru-RU"/>
        </w:rPr>
        <w:t>его супруга (супруг) является опекуном (попечителем)</w:t>
      </w:r>
      <w:r w:rsidR="004D5C5A" w:rsidRPr="00810A50">
        <w:rPr>
          <w:rStyle w:val="FontStyle27"/>
          <w:rFonts w:eastAsiaTheme="minorEastAsia"/>
          <w:sz w:val="28"/>
          <w:szCs w:val="28"/>
          <w:lang w:eastAsia="ru-RU"/>
        </w:rPr>
        <w:t>,</w:t>
      </w:r>
      <w:r w:rsidR="00247AEE" w:rsidRPr="00810A50">
        <w:rPr>
          <w:rStyle w:val="FontStyle27"/>
          <w:rFonts w:eastAsiaTheme="minorEastAsia"/>
          <w:sz w:val="28"/>
          <w:szCs w:val="28"/>
          <w:lang w:eastAsia="ru-RU"/>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lastRenderedPageBreak/>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w:t>
      </w:r>
      <w:r w:rsidR="00B97C6A" w:rsidRPr="00810A50">
        <w:rPr>
          <w:sz w:val="28"/>
          <w:szCs w:val="28"/>
        </w:rPr>
        <w:lastRenderedPageBreak/>
        <w:t xml:space="preserve">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lastRenderedPageBreak/>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обязательствах имущественного характера супруги (супруга) 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w:t>
      </w:r>
      <w:r w:rsidR="00BE5052" w:rsidRPr="00810A50">
        <w:rPr>
          <w:sz w:val="28"/>
          <w:szCs w:val="28"/>
        </w:rPr>
        <w:lastRenderedPageBreak/>
        <w:t>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9"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w:t>
      </w:r>
      <w:r w:rsidRPr="00810A50">
        <w:rPr>
          <w:sz w:val="28"/>
          <w:szCs w:val="28"/>
        </w:rPr>
        <w:lastRenderedPageBreak/>
        <w:t xml:space="preserve">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Вместе с тем, зачастую, такое имущество является объектом налогообложения, в связи с чем </w:t>
            </w:r>
            <w:r w:rsidRPr="00810A50">
              <w:rPr>
                <w:rFonts w:ascii="Times New Roman" w:hAnsi="Times New Roman"/>
                <w:sz w:val="28"/>
                <w:szCs w:val="28"/>
              </w:rPr>
              <w:lastRenderedPageBreak/>
              <w:t>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об объектах 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 xml:space="preserve">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w:t>
      </w:r>
      <w:r w:rsidR="0038744F" w:rsidRPr="00810A50">
        <w:rPr>
          <w:rStyle w:val="FontStyle27"/>
          <w:sz w:val="28"/>
          <w:szCs w:val="28"/>
        </w:rPr>
        <w:lastRenderedPageBreak/>
        <w:t>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 xml:space="preserve">правки о доходах, то есть </w:t>
      </w:r>
      <w:r w:rsidR="001C65B9" w:rsidRPr="00810A50">
        <w:rPr>
          <w:rStyle w:val="FontStyle27"/>
          <w:rFonts w:eastAsiaTheme="minorHAnsi"/>
          <w:i/>
          <w:sz w:val="28"/>
          <w:szCs w:val="28"/>
          <w:lang w:eastAsia="en-US"/>
        </w:rPr>
        <w:lastRenderedPageBreak/>
        <w:t>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правка 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lastRenderedPageBreak/>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lastRenderedPageBreak/>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1.1.</w:t>
      </w:r>
      <w:r w:rsidR="00935341" w:rsidRPr="00810A50">
        <w:rPr>
          <w:rStyle w:val="FontStyle27"/>
          <w:rFonts w:eastAsiaTheme="minorEastAsia"/>
          <w:sz w:val="28"/>
          <w:szCs w:val="28"/>
          <w:lang w:eastAsia="ru-RU"/>
        </w:rPr>
        <w:t>6</w:t>
      </w:r>
      <w:r w:rsidRPr="00810A50">
        <w:rPr>
          <w:rStyle w:val="FontStyle27"/>
          <w:rFonts w:eastAsiaTheme="minorEastAsia"/>
          <w:sz w:val="28"/>
          <w:szCs w:val="28"/>
          <w:lang w:eastAsia="ru-RU"/>
        </w:rPr>
        <w:t xml:space="preserve">. </w:t>
      </w:r>
      <w:r w:rsidR="00343A7B" w:rsidRPr="00810A50">
        <w:rPr>
          <w:rStyle w:val="FontStyle27"/>
          <w:rFonts w:eastAsiaTheme="minorEastAsia"/>
          <w:sz w:val="28"/>
          <w:szCs w:val="28"/>
          <w:lang w:eastAsia="ru-RU"/>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совершение нотариальных действий и оказание услуг правового и</w:t>
      </w:r>
      <w:r w:rsidR="00721B4C"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технического характера, другие финансовые поступления в связи с</w:t>
      </w:r>
      <w:r w:rsidR="00592EA1"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rFonts w:eastAsiaTheme="minorEastAsia"/>
          <w:sz w:val="28"/>
          <w:szCs w:val="28"/>
          <w:lang w:eastAsia="ru-RU"/>
        </w:rPr>
        <w:lastRenderedPageBreak/>
        <w:t>1.1.</w:t>
      </w:r>
      <w:r w:rsidR="00935341" w:rsidRPr="00810A50">
        <w:rPr>
          <w:rStyle w:val="FontStyle27"/>
          <w:rFonts w:eastAsiaTheme="minorEastAsia"/>
          <w:sz w:val="28"/>
          <w:szCs w:val="28"/>
          <w:lang w:eastAsia="ru-RU"/>
        </w:rPr>
        <w:t>7</w:t>
      </w:r>
      <w:r w:rsidRPr="00810A50">
        <w:rPr>
          <w:rStyle w:val="FontStyle27"/>
          <w:rFonts w:eastAsiaTheme="minorEastAsia"/>
          <w:sz w:val="28"/>
          <w:szCs w:val="28"/>
          <w:lang w:eastAsia="ru-RU"/>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 xml:space="preserve">периоде. </w:t>
      </w:r>
      <w:r w:rsidRPr="00810A50">
        <w:rPr>
          <w:rStyle w:val="FontStyle27"/>
          <w:sz w:val="28"/>
          <w:szCs w:val="28"/>
        </w:rPr>
        <w:lastRenderedPageBreak/>
        <w:t>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0"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w:t>
      </w:r>
      <w:r w:rsidRPr="00810A50">
        <w:rPr>
          <w:rFonts w:ascii="Times New Roman" w:hAnsi="Times New Roman" w:cs="Times New Roman"/>
          <w:sz w:val="28"/>
          <w:szCs w:val="28"/>
        </w:rPr>
        <w:lastRenderedPageBreak/>
        <w:t>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lastRenderedPageBreak/>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lastRenderedPageBreak/>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w:t>
      </w:r>
      <w:r w:rsidRPr="00810A50">
        <w:rPr>
          <w:sz w:val="28"/>
          <w:szCs w:val="28"/>
        </w:rPr>
        <w:lastRenderedPageBreak/>
        <w:t>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 xml:space="preserve">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w:t>
      </w:r>
      <w:r w:rsidR="00304D26" w:rsidRPr="00810A50">
        <w:rPr>
          <w:sz w:val="28"/>
          <w:szCs w:val="28"/>
        </w:rPr>
        <w:lastRenderedPageBreak/>
        <w:t>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w:t>
      </w:r>
      <w:r w:rsidR="00B12C29" w:rsidRPr="00810A50">
        <w:rPr>
          <w:rStyle w:val="FontStyle27"/>
          <w:sz w:val="28"/>
          <w:szCs w:val="28"/>
        </w:rPr>
        <w:lastRenderedPageBreak/>
        <w:t>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rFonts w:eastAsiaTheme="minorEastAsia"/>
          <w:sz w:val="28"/>
          <w:szCs w:val="28"/>
          <w:lang w:eastAsia="ru-RU"/>
        </w:rPr>
        <w:t> </w:t>
      </w:r>
      <w:r w:rsidR="00F90684" w:rsidRPr="00810A50">
        <w:rPr>
          <w:rStyle w:val="FontStyle27"/>
          <w:rFonts w:eastAsiaTheme="minorEastAsia"/>
          <w:sz w:val="28"/>
          <w:szCs w:val="28"/>
          <w:lang w:eastAsia="ru-RU"/>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w:t>
      </w:r>
      <w:r w:rsidR="00B12C29" w:rsidRPr="00810A50">
        <w:rPr>
          <w:rStyle w:val="FontStyle27"/>
          <w:sz w:val="28"/>
          <w:szCs w:val="28"/>
        </w:rPr>
        <w:lastRenderedPageBreak/>
        <w:t xml:space="preserve">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lang w:eastAsia="ru-RU"/>
        </w:rPr>
        <w:t xml:space="preserve">Меры государственной поддержки семей, имеющих детей, </w:t>
      </w:r>
      <w:r w:rsidR="00895F6D" w:rsidRPr="00810A50">
        <w:rPr>
          <w:rFonts w:ascii="Times New Roman" w:hAnsi="Times New Roman"/>
          <w:sz w:val="28"/>
          <w:szCs w:val="28"/>
          <w:lang w:eastAsia="ru-RU"/>
        </w:rPr>
        <w:br/>
      </w:r>
      <w:r w:rsidRPr="00810A50">
        <w:rPr>
          <w:rFonts w:ascii="Times New Roman" w:hAnsi="Times New Roman"/>
          <w:sz w:val="28"/>
          <w:szCs w:val="28"/>
          <w:lang w:eastAsia="ru-RU"/>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lastRenderedPageBreak/>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lastRenderedPageBreak/>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10A50">
        <w:rPr>
          <w:rFonts w:ascii="Times New Roman" w:eastAsia="Times New Roman" w:hAnsi="Times New Roman"/>
          <w:sz w:val="28"/>
          <w:szCs w:val="28"/>
          <w:lang w:eastAsia="ru-RU"/>
        </w:rPr>
        <w:t>1.6.1.41.</w:t>
      </w:r>
      <w:r w:rsidR="008E3777" w:rsidRPr="00810A50">
        <w:rPr>
          <w:rFonts w:ascii="Times New Roman" w:eastAsia="Times New Roman" w:hAnsi="Times New Roman"/>
          <w:sz w:val="28"/>
          <w:szCs w:val="28"/>
          <w:lang w:eastAsia="ru-RU"/>
        </w:rPr>
        <w:t xml:space="preserve">Также в строке </w:t>
      </w:r>
      <w:r w:rsidR="00E34C50" w:rsidRPr="00810A50">
        <w:rPr>
          <w:rFonts w:ascii="Times New Roman" w:eastAsia="Times New Roman" w:hAnsi="Times New Roman"/>
          <w:sz w:val="28"/>
          <w:szCs w:val="28"/>
          <w:lang w:eastAsia="ru-RU"/>
        </w:rPr>
        <w:t>«</w:t>
      </w:r>
      <w:r w:rsidR="008E3777" w:rsidRPr="00810A50">
        <w:rPr>
          <w:rFonts w:ascii="Times New Roman" w:eastAsia="Times New Roman" w:hAnsi="Times New Roman"/>
          <w:sz w:val="28"/>
          <w:szCs w:val="28"/>
          <w:lang w:eastAsia="ru-RU"/>
        </w:rPr>
        <w:t>Иные доходы</w:t>
      </w:r>
      <w:r w:rsidR="00E34C50" w:rsidRPr="00810A50">
        <w:rPr>
          <w:rFonts w:ascii="Times New Roman" w:eastAsia="Times New Roman" w:hAnsi="Times New Roman"/>
          <w:sz w:val="28"/>
          <w:szCs w:val="28"/>
          <w:lang w:eastAsia="ru-RU"/>
        </w:rPr>
        <w:t>»</w:t>
      </w:r>
      <w:r w:rsidR="008E3777" w:rsidRPr="00810A50">
        <w:rPr>
          <w:rFonts w:ascii="Times New Roman" w:eastAsia="Times New Roman" w:hAnsi="Times New Roman"/>
          <w:sz w:val="28"/>
          <w:szCs w:val="28"/>
          <w:lang w:eastAsia="ru-RU"/>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10A50">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lang w:eastAsia="ru-RU"/>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 xml:space="preserve">в цифровой валюте, стоимость которой определяется в иностранной валюте, </w:t>
      </w:r>
      <w:r w:rsidRPr="00810A50">
        <w:rPr>
          <w:rFonts w:eastAsia="Times New Roman"/>
          <w:sz w:val="28"/>
          <w:szCs w:val="28"/>
        </w:rPr>
        <w:lastRenderedPageBreak/>
        <w:t>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lang w:eastAsia="ru-RU"/>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lastRenderedPageBreak/>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rFonts w:eastAsiaTheme="minorEastAsia"/>
          <w:sz w:val="28"/>
          <w:szCs w:val="28"/>
          <w:lang w:eastAsia="ru-RU"/>
        </w:rPr>
        <w:t>С</w:t>
      </w:r>
      <w:r w:rsidR="000875EF" w:rsidRPr="00810A50">
        <w:rPr>
          <w:rStyle w:val="FontStyle27"/>
          <w:rFonts w:eastAsiaTheme="minorEastAsia"/>
          <w:sz w:val="28"/>
          <w:szCs w:val="28"/>
          <w:lang w:eastAsia="ru-RU"/>
        </w:rPr>
        <w:t xml:space="preserve"> оплатой коммунальных и иных</w:t>
      </w:r>
      <w:r w:rsidR="00390E10" w:rsidRPr="00810A50">
        <w:rPr>
          <w:rStyle w:val="FontStyle27"/>
          <w:rFonts w:eastAsiaTheme="minorEastAsia"/>
          <w:sz w:val="28"/>
          <w:szCs w:val="28"/>
          <w:lang w:eastAsia="ru-RU"/>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С</w:t>
      </w:r>
      <w:r w:rsidR="00390E10" w:rsidRPr="00810A50">
        <w:rPr>
          <w:rStyle w:val="FontStyle27"/>
          <w:rFonts w:eastAsiaTheme="minorEastAsia"/>
          <w:sz w:val="28"/>
          <w:szCs w:val="28"/>
          <w:lang w:eastAsia="ru-RU"/>
        </w:rPr>
        <w:t xml:space="preserve"> </w:t>
      </w:r>
      <w:r w:rsidR="000875EF" w:rsidRPr="00810A50">
        <w:rPr>
          <w:rStyle w:val="FontStyle27"/>
          <w:rFonts w:eastAsiaTheme="minorEastAsia"/>
          <w:sz w:val="28"/>
          <w:szCs w:val="28"/>
          <w:lang w:eastAsia="ru-RU"/>
        </w:rPr>
        <w:t>оформлением нотариальной доверенности, почтовыми расходами, расходами на оплату услуг представител</w:t>
      </w:r>
      <w:r w:rsidR="00390E10" w:rsidRPr="00810A50">
        <w:rPr>
          <w:rStyle w:val="FontStyle27"/>
          <w:rFonts w:eastAsiaTheme="minorEastAsia"/>
          <w:sz w:val="28"/>
          <w:szCs w:val="28"/>
          <w:lang w:eastAsia="ru-RU"/>
        </w:rPr>
        <w:t xml:space="preserve">я (возмещаются </w:t>
      </w:r>
      <w:r w:rsidR="00C177CE" w:rsidRPr="00810A50">
        <w:rPr>
          <w:rStyle w:val="FontStyle27"/>
          <w:rFonts w:eastAsiaTheme="minorEastAsia"/>
          <w:sz w:val="28"/>
          <w:szCs w:val="28"/>
          <w:lang w:eastAsia="ru-RU"/>
        </w:rPr>
        <w:br/>
      </w:r>
      <w:r w:rsidR="00390E10" w:rsidRPr="00810A50">
        <w:rPr>
          <w:rStyle w:val="FontStyle27"/>
          <w:rFonts w:eastAsiaTheme="minorEastAsia"/>
          <w:sz w:val="28"/>
          <w:szCs w:val="28"/>
          <w:lang w:eastAsia="ru-RU"/>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rFonts w:eastAsiaTheme="minorEastAsia"/>
          <w:sz w:val="28"/>
          <w:szCs w:val="28"/>
          <w:lang w:eastAsia="ru-RU"/>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 xml:space="preserve">требуется указывать </w:t>
      </w:r>
      <w:r w:rsidR="00C17EF1" w:rsidRPr="00810A50">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lang w:eastAsia="ru-RU"/>
        </w:rPr>
        <w:t xml:space="preserve"> предусмотрено последующее пред</w:t>
      </w:r>
      <w:r w:rsidR="00C17EF1" w:rsidRPr="00810A50">
        <w:rPr>
          <w:rFonts w:ascii="Times New Roman" w:hAnsi="Times New Roman"/>
          <w:sz w:val="28"/>
          <w:szCs w:val="28"/>
          <w:lang w:eastAsia="ru-RU"/>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lastRenderedPageBreak/>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 xml:space="preserve">(в том </w:t>
      </w:r>
      <w:r w:rsidR="00026D39" w:rsidRPr="00810A50">
        <w:rPr>
          <w:rStyle w:val="FontStyle27"/>
          <w:sz w:val="28"/>
          <w:szCs w:val="28"/>
        </w:rPr>
        <w:lastRenderedPageBreak/>
        <w:t>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или общая сумма совершенных сделок превышает общий доход данного лица и его супруги (супруга)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lastRenderedPageBreak/>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rFonts w:eastAsiaTheme="minorEastAsia"/>
          <w:sz w:val="28"/>
          <w:szCs w:val="28"/>
          <w:lang w:eastAsia="ru-RU"/>
        </w:rPr>
      </w:pPr>
      <w:r w:rsidRPr="00810A50">
        <w:rPr>
          <w:rStyle w:val="FontStyle27"/>
          <w:rFonts w:eastAsiaTheme="minorEastAsia"/>
          <w:sz w:val="28"/>
          <w:szCs w:val="28"/>
          <w:lang w:eastAsia="ru-RU"/>
        </w:rPr>
        <w:t xml:space="preserve">Для цели реализации пункта 2.1 </w:t>
      </w:r>
      <w:r w:rsidR="00371B81" w:rsidRPr="00810A50">
        <w:rPr>
          <w:rStyle w:val="FontStyle27"/>
          <w:rFonts w:eastAsiaTheme="minorEastAsia"/>
          <w:sz w:val="28"/>
          <w:szCs w:val="28"/>
          <w:lang w:eastAsia="ru-RU"/>
        </w:rPr>
        <w:t xml:space="preserve">данного раздела </w:t>
      </w:r>
      <w:r w:rsidRPr="00810A50">
        <w:rPr>
          <w:rStyle w:val="FontStyle27"/>
          <w:rFonts w:eastAsiaTheme="minorEastAsia"/>
          <w:sz w:val="28"/>
          <w:szCs w:val="28"/>
          <w:lang w:eastAsia="ru-RU"/>
        </w:rPr>
        <w:t>Методических рекомендаций при расчете общ</w:t>
      </w:r>
      <w:r w:rsidR="00BE2173" w:rsidRPr="00810A50">
        <w:rPr>
          <w:rStyle w:val="FontStyle27"/>
          <w:rFonts w:eastAsiaTheme="minorEastAsia"/>
          <w:sz w:val="28"/>
          <w:szCs w:val="28"/>
          <w:lang w:eastAsia="ru-RU"/>
        </w:rPr>
        <w:t>его дохода судьи или государственного гражданского служащего</w:t>
      </w:r>
      <w:r w:rsidRPr="00810A50">
        <w:rPr>
          <w:rStyle w:val="FontStyle27"/>
          <w:rFonts w:eastAsiaTheme="minorEastAsia"/>
          <w:sz w:val="28"/>
          <w:szCs w:val="28"/>
          <w:lang w:eastAsia="ru-RU"/>
        </w:rPr>
        <w:t xml:space="preserve"> и его супруги (супруга) за три года, предшествующи</w:t>
      </w:r>
      <w:r w:rsidR="00BA1C7C" w:rsidRPr="00810A50">
        <w:rPr>
          <w:rStyle w:val="FontStyle27"/>
          <w:rFonts w:eastAsiaTheme="minorEastAsia"/>
          <w:sz w:val="28"/>
          <w:szCs w:val="28"/>
          <w:lang w:eastAsia="ru-RU"/>
        </w:rPr>
        <w:t>е</w:t>
      </w:r>
      <w:r w:rsidRPr="00810A50">
        <w:rPr>
          <w:rStyle w:val="FontStyle27"/>
          <w:rFonts w:eastAsiaTheme="minorEastAsia"/>
          <w:sz w:val="28"/>
          <w:szCs w:val="28"/>
          <w:lang w:eastAsia="ru-RU"/>
        </w:rPr>
        <w:t xml:space="preserve"> отчетному, доходы супруги (супруга) </w:t>
      </w:r>
      <w:r w:rsidR="00BE2173" w:rsidRPr="00810A50">
        <w:rPr>
          <w:rStyle w:val="FontStyle27"/>
          <w:rFonts w:eastAsiaTheme="minorEastAsia"/>
          <w:sz w:val="28"/>
          <w:szCs w:val="28"/>
          <w:lang w:eastAsia="ru-RU"/>
        </w:rPr>
        <w:t xml:space="preserve">судьи или государственного гражданского служащего </w:t>
      </w:r>
      <w:r w:rsidRPr="00810A50">
        <w:rPr>
          <w:rStyle w:val="FontStyle27"/>
          <w:rFonts w:eastAsiaTheme="minorEastAsia"/>
          <w:sz w:val="28"/>
          <w:szCs w:val="28"/>
          <w:lang w:eastAsia="ru-RU"/>
        </w:rPr>
        <w:t xml:space="preserve"> учитываются только в случае, если они состояли в</w:t>
      </w:r>
      <w:r w:rsidR="004B4C67" w:rsidRPr="00810A50">
        <w:rPr>
          <w:rStyle w:val="FontStyle27"/>
          <w:rFonts w:eastAsiaTheme="minorEastAsia"/>
          <w:sz w:val="28"/>
          <w:szCs w:val="28"/>
          <w:lang w:eastAsia="ru-RU"/>
        </w:rPr>
        <w:t> </w:t>
      </w:r>
      <w:r w:rsidRPr="00810A50">
        <w:rPr>
          <w:rStyle w:val="FontStyle27"/>
          <w:rFonts w:eastAsiaTheme="minorEastAsia"/>
          <w:sz w:val="28"/>
          <w:szCs w:val="28"/>
          <w:lang w:eastAsia="ru-RU"/>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rFonts w:eastAsiaTheme="minorEastAsia"/>
          <w:sz w:val="28"/>
          <w:szCs w:val="28"/>
          <w:lang w:eastAsia="ru-RU"/>
        </w:rPr>
        <w:t>лько доход судьи или государственного гражданского служащего</w:t>
      </w:r>
      <w:r w:rsidRPr="00810A50">
        <w:rPr>
          <w:rStyle w:val="FontStyle27"/>
          <w:rFonts w:eastAsiaTheme="minorEastAsia"/>
          <w:sz w:val="28"/>
          <w:szCs w:val="28"/>
          <w:lang w:eastAsia="ru-RU"/>
        </w:rPr>
        <w:t xml:space="preserve"> за три последних года, предшествующи</w:t>
      </w:r>
      <w:r w:rsidR="00C6268C" w:rsidRPr="00810A50">
        <w:rPr>
          <w:rStyle w:val="FontStyle27"/>
          <w:rFonts w:eastAsiaTheme="minorEastAsia"/>
          <w:sz w:val="28"/>
          <w:szCs w:val="28"/>
          <w:lang w:eastAsia="ru-RU"/>
        </w:rPr>
        <w:t>х</w:t>
      </w:r>
      <w:r w:rsidRPr="00810A50">
        <w:rPr>
          <w:rStyle w:val="FontStyle27"/>
          <w:rFonts w:eastAsiaTheme="minorEastAsia"/>
          <w:sz w:val="28"/>
          <w:szCs w:val="28"/>
          <w:lang w:eastAsia="ru-RU"/>
        </w:rPr>
        <w:t xml:space="preserve"> отчетному периоду.</w:t>
      </w:r>
    </w:p>
    <w:p w:rsidR="00D5009C" w:rsidRPr="00810A50" w:rsidRDefault="009962E8" w:rsidP="009962E8">
      <w:pPr>
        <w:pStyle w:val="ac"/>
        <w:spacing w:after="0" w:line="240" w:lineRule="auto"/>
        <w:ind w:left="0" w:firstLine="709"/>
        <w:jc w:val="both"/>
        <w:rPr>
          <w:rStyle w:val="FontStyle27"/>
          <w:rFonts w:eastAsiaTheme="minorEastAsia"/>
          <w:sz w:val="28"/>
          <w:szCs w:val="28"/>
          <w:lang w:eastAsia="ru-RU"/>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rFonts w:eastAsiaTheme="minorEastAsia"/>
          <w:sz w:val="28"/>
          <w:szCs w:val="28"/>
          <w:lang w:eastAsia="ru-RU"/>
        </w:rPr>
        <w:t>судьей</w:t>
      </w:r>
      <w:r w:rsidR="00DA2371" w:rsidRPr="00810A50">
        <w:rPr>
          <w:rStyle w:val="FontStyle27"/>
          <w:rFonts w:eastAsiaTheme="minorEastAsia"/>
          <w:sz w:val="28"/>
          <w:szCs w:val="28"/>
          <w:lang w:eastAsia="ru-RU"/>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w:t>
      </w:r>
      <w:r w:rsidRPr="00810A50">
        <w:rPr>
          <w:rStyle w:val="FontStyle27"/>
          <w:sz w:val="28"/>
          <w:szCs w:val="28"/>
        </w:rPr>
        <w:lastRenderedPageBreak/>
        <w:t>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lang w:eastAsia="ru-RU"/>
        </w:rPr>
        <w:t xml:space="preserve"> </w:t>
      </w:r>
      <w:r w:rsidR="00FE3FAD" w:rsidRPr="00810A50">
        <w:rPr>
          <w:kern w:val="36"/>
          <w:sz w:val="28"/>
          <w:szCs w:val="28"/>
          <w:lang w:eastAsia="ru-RU"/>
        </w:rPr>
        <w:br/>
      </w:r>
      <w:r w:rsidR="00E34C50" w:rsidRPr="00810A50">
        <w:rPr>
          <w:rFonts w:ascii="Times New Roman" w:hAnsi="Times New Roman" w:cs="Times New Roman"/>
          <w:kern w:val="36"/>
          <w:sz w:val="28"/>
          <w:szCs w:val="28"/>
          <w:lang w:eastAsia="ru-RU"/>
        </w:rPr>
        <w:t>«</w:t>
      </w:r>
      <w:r w:rsidR="00C66A45" w:rsidRPr="00810A50">
        <w:rPr>
          <w:rFonts w:ascii="Times New Roman" w:hAnsi="Times New Roman" w:cs="Times New Roman"/>
          <w:kern w:val="36"/>
          <w:sz w:val="28"/>
          <w:szCs w:val="28"/>
          <w:lang w:eastAsia="ru-RU"/>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lang w:eastAsia="ru-RU"/>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lastRenderedPageBreak/>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строительства. Для объекта 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 xml:space="preserve">полученные от данного источника суммы. Например, для дохода от иной оплачиваемой </w:t>
      </w:r>
      <w:r w:rsidR="00B12C29" w:rsidRPr="00810A50">
        <w:rPr>
          <w:rStyle w:val="FontStyle27"/>
          <w:sz w:val="28"/>
          <w:szCs w:val="28"/>
        </w:rPr>
        <w:lastRenderedPageBreak/>
        <w:t>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lastRenderedPageBreak/>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 xml:space="preserve">уплате </w:t>
      </w:r>
      <w:r w:rsidRPr="00810A50">
        <w:rPr>
          <w:rStyle w:val="FontStyle27"/>
          <w:sz w:val="28"/>
          <w:szCs w:val="28"/>
        </w:rPr>
        <w:lastRenderedPageBreak/>
        <w:t>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lastRenderedPageBreak/>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w:t>
      </w:r>
      <w:r w:rsidRPr="00810A50">
        <w:rPr>
          <w:rStyle w:val="FontStyle27"/>
          <w:sz w:val="28"/>
          <w:szCs w:val="28"/>
        </w:rPr>
        <w:lastRenderedPageBreak/>
        <w:t>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то указанные объекты следует 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lang w:eastAsia="ru-RU"/>
        </w:rPr>
      </w:pPr>
      <w:r w:rsidRPr="00810A50">
        <w:rPr>
          <w:rFonts w:ascii="Times New Roman" w:hAnsi="Times New Roman"/>
          <w:sz w:val="28"/>
          <w:szCs w:val="28"/>
        </w:rPr>
        <w:t xml:space="preserve">– огородный земельный участок – </w:t>
      </w:r>
      <w:r w:rsidRPr="00810A5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 xml:space="preserve">араж, машиноместо </w:t>
      </w:r>
      <w:r w:rsidR="004F2F9E" w:rsidRPr="00810A50">
        <w:rPr>
          <w:rStyle w:val="FontStyle27"/>
          <w:sz w:val="28"/>
          <w:szCs w:val="28"/>
        </w:rPr>
        <w:lastRenderedPageBreak/>
        <w:t>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lastRenderedPageBreak/>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основании правоустанавливающих документов. Если недвижимое 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 xml:space="preserve">раздела 3 </w:t>
      </w:r>
      <w:r w:rsidRPr="00810A50">
        <w:rPr>
          <w:rFonts w:ascii="Times New Roman" w:hAnsi="Times New Roman"/>
          <w:sz w:val="28"/>
          <w:szCs w:val="28"/>
        </w:rPr>
        <w:lastRenderedPageBreak/>
        <w:t>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lastRenderedPageBreak/>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lastRenderedPageBreak/>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w:t>
      </w:r>
      <w:r w:rsidRPr="00810A50">
        <w:rPr>
          <w:rStyle w:val="FontStyle27"/>
          <w:sz w:val="28"/>
          <w:szCs w:val="28"/>
        </w:rPr>
        <w:lastRenderedPageBreak/>
        <w:t>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1"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2"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3" w:history="1">
        <w:r w:rsidRPr="00810A50">
          <w:rPr>
            <w:rStyle w:val="FontStyle27"/>
            <w:sz w:val="28"/>
            <w:szCs w:val="28"/>
          </w:rPr>
          <w:t>ОГИБДД</w:t>
        </w:r>
      </w:hyperlink>
      <w:r w:rsidR="00F23151" w:rsidRPr="00810A50">
        <w:rPr>
          <w:rStyle w:val="FontStyle27"/>
          <w:sz w:val="28"/>
          <w:szCs w:val="28"/>
        </w:rPr>
        <w:t xml:space="preserve"> </w:t>
      </w:r>
      <w:hyperlink r:id="rId14"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согласно официальным документам (например,</w:t>
      </w:r>
      <w:r w:rsidR="002B6ECD" w:rsidRPr="00810A50">
        <w:rPr>
          <w:rFonts w:ascii="Times New Roman" w:eastAsia="Times New Roman" w:hAnsi="Times New Roman"/>
          <w:sz w:val="28"/>
          <w:szCs w:val="28"/>
          <w:lang w:eastAsia="ru-RU"/>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lastRenderedPageBreak/>
        <w:t xml:space="preserve">3.2.4. </w:t>
      </w:r>
      <w:r w:rsidR="00F00E51" w:rsidRPr="00810A50">
        <w:rPr>
          <w:rStyle w:val="FontStyle27"/>
          <w:rFonts w:eastAsiaTheme="minorEastAsia"/>
          <w:sz w:val="28"/>
          <w:szCs w:val="28"/>
          <w:lang w:eastAsia="ru-RU"/>
        </w:rPr>
        <w:t>Аналогичным подходом необходимо руководствоваться при</w:t>
      </w:r>
      <w:r w:rsidR="00495F01" w:rsidRPr="00810A50">
        <w:rPr>
          <w:rStyle w:val="FontStyle27"/>
          <w:rFonts w:eastAsiaTheme="minorEastAsia"/>
          <w:sz w:val="28"/>
          <w:szCs w:val="28"/>
          <w:lang w:eastAsia="ru-RU"/>
        </w:rPr>
        <w:t> </w:t>
      </w:r>
      <w:r w:rsidR="00F00E51" w:rsidRPr="00810A50">
        <w:rPr>
          <w:rStyle w:val="FontStyle27"/>
          <w:rFonts w:eastAsiaTheme="minorEastAsia"/>
          <w:sz w:val="28"/>
          <w:szCs w:val="28"/>
          <w:lang w:eastAsia="ru-RU"/>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w:t>
      </w:r>
      <w:r w:rsidR="00AC7FF2" w:rsidRPr="00810A50">
        <w:rPr>
          <w:rStyle w:val="ad"/>
          <w:rFonts w:ascii="Times New Roman" w:hAnsi="Times New Roman" w:cs="Times New Roman"/>
          <w:sz w:val="28"/>
          <w:szCs w:val="28"/>
        </w:rPr>
        <w:lastRenderedPageBreak/>
        <w:t xml:space="preserve">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иным цифровым правам могут быть отнесены утилитарные цифровые 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w:t>
      </w:r>
      <w:r w:rsidRPr="00810A50">
        <w:rPr>
          <w:rStyle w:val="ad"/>
          <w:rFonts w:ascii="Times New Roman" w:hAnsi="Times New Roman" w:cs="Times New Roman"/>
          <w:sz w:val="28"/>
          <w:szCs w:val="28"/>
        </w:rPr>
        <w:lastRenderedPageBreak/>
        <w:t>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w:t>
      </w:r>
      <w:r w:rsidRPr="00810A50">
        <w:rPr>
          <w:rStyle w:val="ad"/>
          <w:rFonts w:ascii="Times New Roman" w:hAnsi="Times New Roman" w:cs="Times New Roman"/>
          <w:sz w:val="28"/>
          <w:szCs w:val="28"/>
        </w:rPr>
        <w:lastRenderedPageBreak/>
        <w:t>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lastRenderedPageBreak/>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eastAsia="ru-RU"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eastAsia="ru-RU"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lastRenderedPageBreak/>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5"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lastRenderedPageBreak/>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lastRenderedPageBreak/>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lastRenderedPageBreak/>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 xml:space="preserve">Как электронное средство платежа используется для совершения ее держателем операций за счет денежных </w:t>
            </w:r>
            <w:r w:rsidRPr="00810A50">
              <w:rPr>
                <w:rFonts w:ascii="Times New Roman" w:hAnsi="Times New Roman" w:cs="Times New Roman"/>
                <w:sz w:val="28"/>
                <w:szCs w:val="28"/>
              </w:rPr>
              <w:lastRenderedPageBreak/>
              <w:t>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6"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7">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w:t>
      </w:r>
      <w:r w:rsidRPr="00810A50">
        <w:rPr>
          <w:sz w:val="28"/>
          <w:szCs w:val="28"/>
        </w:rPr>
        <w:lastRenderedPageBreak/>
        <w:t xml:space="preserve">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lastRenderedPageBreak/>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 xml:space="preserve">в соответствии с законодательством иностранного государства, – место </w:t>
      </w:r>
      <w:r w:rsidRPr="00810A50">
        <w:rPr>
          <w:sz w:val="28"/>
          <w:szCs w:val="28"/>
        </w:rPr>
        <w:lastRenderedPageBreak/>
        <w:t>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 xml:space="preserve">в данном поле, будет автоматически включена в итоговую сумму по разделу </w:t>
      </w:r>
      <w:r w:rsidRPr="00810A50">
        <w:rPr>
          <w:sz w:val="28"/>
          <w:szCs w:val="28"/>
        </w:rPr>
        <w:lastRenderedPageBreak/>
        <w:t>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lastRenderedPageBreak/>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sidRPr="00810A50">
        <w:rPr>
          <w:rFonts w:ascii="Times New Roman" w:hAnsi="Times New Roman"/>
          <w:sz w:val="28"/>
          <w:szCs w:val="28"/>
        </w:rPr>
        <w:lastRenderedPageBreak/>
        <w:t>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8"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t>В данном подразделе также подлежат отражению объекты недвижимого имущества, находящиеся в пользовании гражданина, зарегистриро</w:t>
      </w:r>
      <w:r w:rsidRPr="00810A50">
        <w:rPr>
          <w:sz w:val="28"/>
          <w:szCs w:val="28"/>
        </w:rPr>
        <w:lastRenderedPageBreak/>
        <w:t>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lastRenderedPageBreak/>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lastRenderedPageBreak/>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 xml:space="preserve">тся вторая сторона обязательства и ее правовое положение в данном обязательстве (кредитор или </w:t>
      </w:r>
      <w:r w:rsidRPr="00810A50">
        <w:rPr>
          <w:rStyle w:val="FontStyle27"/>
          <w:sz w:val="28"/>
          <w:szCs w:val="28"/>
        </w:rPr>
        <w:lastRenderedPageBreak/>
        <w:t>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w:t>
      </w:r>
      <w:r w:rsidR="005B0D50" w:rsidRPr="00810A50">
        <w:rPr>
          <w:rStyle w:val="FontStyle27"/>
          <w:sz w:val="28"/>
          <w:szCs w:val="28"/>
        </w:rPr>
        <w:lastRenderedPageBreak/>
        <w:t xml:space="preserve">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lastRenderedPageBreak/>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договору долевого участия по отношению к участнику долевого строи</w:t>
      </w:r>
      <w:r w:rsidRPr="00810A50">
        <w:rPr>
          <w:rStyle w:val="FontStyle27"/>
          <w:sz w:val="28"/>
          <w:szCs w:val="28"/>
        </w:rPr>
        <w:lastRenderedPageBreak/>
        <w:t xml:space="preserve">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его супруги (супруга) и (или) несовершеннолетних детей совместно с иными лицами 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 xml:space="preserve">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w:t>
      </w:r>
      <w:r w:rsidR="0087663C" w:rsidRPr="00810A50">
        <w:rPr>
          <w:rFonts w:ascii="Times New Roman" w:hAnsi="Times New Roman"/>
          <w:sz w:val="28"/>
          <w:szCs w:val="28"/>
        </w:rPr>
        <w:lastRenderedPageBreak/>
        <w:t>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 xml:space="preserve">с гражданином, являющимся или являвшимся клиентом кредитной организации: наименования страховых организаций и даты заключения договоров </w:t>
      </w:r>
      <w:r w:rsidR="00EB69EA" w:rsidRPr="00810A50">
        <w:rPr>
          <w:rFonts w:ascii="Times New Roman" w:hAnsi="Times New Roman"/>
          <w:sz w:val="28"/>
          <w:szCs w:val="28"/>
        </w:rPr>
        <w:lastRenderedPageBreak/>
        <w:t>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w:t>
      </w:r>
      <w:r w:rsidRPr="00810A50">
        <w:rPr>
          <w:sz w:val="28"/>
          <w:szCs w:val="28"/>
        </w:rPr>
        <w:lastRenderedPageBreak/>
        <w:t xml:space="preserve">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и фондах рекомендуется указывать наименование и организационно-право</w:t>
      </w:r>
      <w:r w:rsidRPr="00810A50">
        <w:rPr>
          <w:rStyle w:val="FontStyle27"/>
          <w:sz w:val="28"/>
          <w:szCs w:val="28"/>
        </w:rPr>
        <w:lastRenderedPageBreak/>
        <w:t xml:space="preserve">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 xml:space="preserve">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w:t>
      </w:r>
      <w:r w:rsidRPr="00810A50">
        <w:rPr>
          <w:rStyle w:val="FontStyle27"/>
          <w:sz w:val="28"/>
          <w:szCs w:val="28"/>
        </w:rPr>
        <w:lastRenderedPageBreak/>
        <w:t>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19"/>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92C" w:rsidRDefault="0098192C" w:rsidP="00C70EDA">
      <w:pPr>
        <w:spacing w:after="0" w:line="240" w:lineRule="auto"/>
      </w:pPr>
      <w:r>
        <w:separator/>
      </w:r>
    </w:p>
  </w:endnote>
  <w:endnote w:type="continuationSeparator" w:id="0">
    <w:p w:rsidR="0098192C" w:rsidRDefault="0098192C"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92C" w:rsidRDefault="0098192C" w:rsidP="00C70EDA">
      <w:pPr>
        <w:spacing w:after="0" w:line="240" w:lineRule="auto"/>
      </w:pPr>
      <w:r>
        <w:separator/>
      </w:r>
    </w:p>
  </w:footnote>
  <w:footnote w:type="continuationSeparator" w:id="0">
    <w:p w:rsidR="0098192C" w:rsidRDefault="0098192C"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3A49E3">
          <w:rPr>
            <w:rFonts w:ascii="Times New Roman" w:hAnsi="Times New Roman" w:cs="Times New Roman"/>
            <w:noProof/>
            <w:sz w:val="24"/>
          </w:rPr>
          <w:t>2</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9E3"/>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192C"/>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5E0956-023F-442A-8CF0-2B99A3AE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D80"/>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eastAsiaTheme="minorEastAsia" w:hAnsi="Times New Roman" w:cs="Times New Roman"/>
      <w:sz w:val="24"/>
      <w:szCs w:val="24"/>
      <w:lang w:eastAsia="ru-RU"/>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eastAsiaTheme="minorEastAsia" w:hAnsi="Times New Roman" w:cs="Times New Roman"/>
      <w:sz w:val="24"/>
      <w:szCs w:val="24"/>
      <w:lang w:eastAsia="ru-RU"/>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eastAsiaTheme="minorEastAsia" w:hAnsi="Times New Roman" w:cs="Times New Roman"/>
      <w:sz w:val="24"/>
      <w:szCs w:val="24"/>
      <w:lang w:eastAsia="ru-RU"/>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eastAsiaTheme="minorEastAsia" w:hAnsi="Times New Roman" w:cs="Times New Roman"/>
      <w:sz w:val="24"/>
      <w:szCs w:val="24"/>
      <w:lang w:eastAsia="ru-RU"/>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eastAsiaTheme="minorEastAsia" w:hAnsi="Times New Roman" w:cs="Times New Roman"/>
      <w:sz w:val="24"/>
      <w:szCs w:val="24"/>
      <w:lang w:eastAsia="ru-RU"/>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eastAsiaTheme="minorEastAsia" w:hAnsi="Times New Roman" w:cs="Times New Roman"/>
      <w:sz w:val="24"/>
      <w:szCs w:val="24"/>
      <w:lang w:eastAsia="ru-RU"/>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23" TargetMode="External"/><Relationship Id="rId13" Type="http://schemas.openxmlformats.org/officeDocument/2006/relationships/hyperlink" Target="https://www.gibdd.ru/r/66/contacts/div1165043/" TargetMode="External"/><Relationship Id="rId18" Type="http://schemas.openxmlformats.org/officeDocument/2006/relationships/hyperlink" Target="https://mintrud.gov.ru/ministry/programms/anticorruption/9/2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ibdd.ru/r/66/contacts/div1165058/" TargetMode="External"/><Relationship Id="rId17" Type="http://schemas.openxmlformats.org/officeDocument/2006/relationships/hyperlink" Target="https://login.consultant.ru/link/?req=doc&amp;base=LAW&amp;n=445240&amp;dst=100035" TargetMode="External"/><Relationship Id="rId2" Type="http://schemas.openxmlformats.org/officeDocument/2006/relationships/numbering" Target="numbering.xml"/><Relationship Id="rId16" Type="http://schemas.openxmlformats.org/officeDocument/2006/relationships/hyperlink" Target="https://www.nalog.ru/rn77/related_activities/accounting/bank_accou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bdd.ru/r/77/contacts/div1145039/" TargetMode="External"/><Relationship Id="rId5" Type="http://schemas.openxmlformats.org/officeDocument/2006/relationships/webSettings" Target="webSettings.xml"/><Relationship Id="rId15" Type="http://schemas.openxmlformats.org/officeDocument/2006/relationships/hyperlink" Target="https://www.cbr.ru/currency_base/" TargetMode="External"/><Relationship Id="rId10" Type="http://schemas.openxmlformats.org/officeDocument/2006/relationships/hyperlink" Target="http://www.cbr.ru/currency_base/daily.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mlin.ru/structure/additional/12" TargetMode="External"/><Relationship Id="rId14"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AF27-38C8-4D17-B634-305B0A9FC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Цымбеев Д.С.</cp:lastModifiedBy>
  <cp:revision>2</cp:revision>
  <cp:lastPrinted>2025-02-03T13:01:00Z</cp:lastPrinted>
  <dcterms:created xsi:type="dcterms:W3CDTF">2025-02-28T06:39:00Z</dcterms:created>
  <dcterms:modified xsi:type="dcterms:W3CDTF">2025-02-28T06:39:00Z</dcterms:modified>
</cp:coreProperties>
</file>