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570E" w:rsidRPr="00E16041" w:rsidRDefault="004F570E">
      <w:pPr>
        <w:rPr>
          <w:rFonts w:hAnsi="Times New Roman" w:cs="Times New Roman"/>
          <w:color w:val="000000"/>
          <w:sz w:val="24"/>
          <w:szCs w:val="24"/>
          <w:lang w:val="ru-RU"/>
        </w:rPr>
      </w:pPr>
    </w:p>
    <w:p w:rsidR="004F570E" w:rsidRPr="004244C3" w:rsidRDefault="003B1364" w:rsidP="004244C3">
      <w:pPr>
        <w:spacing w:before="0" w:beforeAutospacing="0" w:after="0" w:afterAutospacing="0" w:line="360" w:lineRule="auto"/>
        <w:jc w:val="center"/>
        <w:rPr>
          <w:rFonts w:cstheme="minorHAnsi"/>
          <w:color w:val="000000"/>
          <w:sz w:val="28"/>
          <w:szCs w:val="28"/>
          <w:lang w:val="ru-RU"/>
        </w:rPr>
      </w:pPr>
      <w:r w:rsidRPr="004244C3">
        <w:rPr>
          <w:rFonts w:cstheme="minorHAnsi"/>
          <w:b/>
          <w:bCs/>
          <w:color w:val="000000"/>
          <w:sz w:val="28"/>
          <w:szCs w:val="28"/>
          <w:lang w:val="ru-RU"/>
        </w:rPr>
        <w:t xml:space="preserve">Основные положения </w:t>
      </w:r>
      <w:r w:rsidR="00DC5F0D" w:rsidRPr="004244C3">
        <w:rPr>
          <w:rFonts w:cstheme="minorHAnsi"/>
          <w:b/>
          <w:bCs/>
          <w:color w:val="000000"/>
          <w:sz w:val="28"/>
          <w:szCs w:val="28"/>
          <w:lang w:val="ru-RU"/>
        </w:rPr>
        <w:t>У</w:t>
      </w:r>
      <w:r w:rsidRPr="004244C3">
        <w:rPr>
          <w:rFonts w:cstheme="minorHAnsi"/>
          <w:b/>
          <w:bCs/>
          <w:color w:val="000000"/>
          <w:sz w:val="28"/>
          <w:szCs w:val="28"/>
          <w:lang w:val="ru-RU"/>
        </w:rPr>
        <w:t>четной политики (выдержки)</w:t>
      </w:r>
    </w:p>
    <w:p w:rsidR="004F570E" w:rsidRPr="004244C3" w:rsidRDefault="00AC0626" w:rsidP="004244C3">
      <w:pPr>
        <w:spacing w:before="0" w:beforeAutospacing="0" w:after="0" w:afterAutospacing="0" w:line="360" w:lineRule="auto"/>
        <w:jc w:val="center"/>
        <w:rPr>
          <w:rFonts w:cstheme="minorHAnsi"/>
          <w:color w:val="000000"/>
          <w:sz w:val="28"/>
          <w:szCs w:val="28"/>
          <w:lang w:val="ru-RU"/>
        </w:rPr>
      </w:pPr>
      <w:r w:rsidRPr="004244C3">
        <w:rPr>
          <w:rFonts w:cstheme="minorHAnsi"/>
          <w:b/>
          <w:bCs/>
          <w:color w:val="000000"/>
          <w:sz w:val="28"/>
          <w:szCs w:val="28"/>
          <w:lang w:val="ru-RU"/>
        </w:rPr>
        <w:t xml:space="preserve">Управления Судебного департамента в </w:t>
      </w:r>
      <w:r w:rsidR="004244C3" w:rsidRPr="004244C3">
        <w:rPr>
          <w:rFonts w:cstheme="minorHAnsi"/>
          <w:b/>
          <w:bCs/>
          <w:color w:val="000000"/>
          <w:sz w:val="28"/>
          <w:szCs w:val="28"/>
          <w:lang w:val="ru-RU"/>
        </w:rPr>
        <w:t>Брянской области</w:t>
      </w:r>
    </w:p>
    <w:p w:rsidR="00C11716" w:rsidRDefault="003B1364" w:rsidP="00C11716">
      <w:pPr>
        <w:ind w:firstLine="720"/>
        <w:jc w:val="both"/>
        <w:rPr>
          <w:rFonts w:cstheme="minorHAnsi"/>
          <w:color w:val="000000"/>
          <w:sz w:val="28"/>
          <w:szCs w:val="28"/>
          <w:lang w:val="ru-RU"/>
        </w:rPr>
      </w:pPr>
      <w:r w:rsidRPr="004244C3">
        <w:rPr>
          <w:rFonts w:cstheme="minorHAnsi"/>
          <w:color w:val="000000"/>
          <w:sz w:val="28"/>
          <w:szCs w:val="28"/>
          <w:lang w:val="ru-RU"/>
        </w:rPr>
        <w:t xml:space="preserve">В соответствии с требованиями пункта 9 </w:t>
      </w:r>
      <w:r w:rsidR="00DC5F0D" w:rsidRPr="004244C3">
        <w:rPr>
          <w:rFonts w:cstheme="minorHAnsi"/>
          <w:color w:val="000000"/>
          <w:sz w:val="28"/>
          <w:szCs w:val="28"/>
          <w:lang w:val="ru-RU"/>
        </w:rPr>
        <w:t>СГС</w:t>
      </w:r>
      <w:r w:rsidRPr="004244C3">
        <w:rPr>
          <w:rFonts w:cstheme="minorHAnsi"/>
          <w:color w:val="000000"/>
          <w:sz w:val="28"/>
          <w:szCs w:val="28"/>
          <w:lang w:val="ru-RU"/>
        </w:rPr>
        <w:t xml:space="preserve"> «Учетная политика, оценочные значения и ошибки», утвержденного приказом Минфина от 30.12.2017 № 274н, на официальном сайте </w:t>
      </w:r>
      <w:r w:rsidR="00AC0626" w:rsidRPr="004244C3">
        <w:rPr>
          <w:rFonts w:cstheme="minorHAnsi"/>
          <w:color w:val="000000"/>
          <w:sz w:val="28"/>
          <w:szCs w:val="28"/>
          <w:lang w:val="ru-RU"/>
        </w:rPr>
        <w:t>Управлени</w:t>
      </w:r>
      <w:r w:rsidRPr="004244C3">
        <w:rPr>
          <w:rFonts w:cstheme="minorHAnsi"/>
          <w:color w:val="000000"/>
          <w:sz w:val="28"/>
          <w:szCs w:val="28"/>
          <w:lang w:val="ru-RU"/>
        </w:rPr>
        <w:t xml:space="preserve">я размещается информация об </w:t>
      </w:r>
      <w:r w:rsidR="00DC5F0D" w:rsidRPr="004244C3">
        <w:rPr>
          <w:rFonts w:cstheme="minorHAnsi"/>
          <w:color w:val="000000"/>
          <w:sz w:val="28"/>
          <w:szCs w:val="28"/>
          <w:lang w:val="ru-RU"/>
        </w:rPr>
        <w:t>У</w:t>
      </w:r>
      <w:r w:rsidR="00C11716">
        <w:rPr>
          <w:rFonts w:cstheme="minorHAnsi"/>
          <w:color w:val="000000"/>
          <w:sz w:val="28"/>
          <w:szCs w:val="28"/>
          <w:lang w:val="ru-RU"/>
        </w:rPr>
        <w:t>четной политике.</w:t>
      </w:r>
    </w:p>
    <w:p w:rsidR="00DC5F0D" w:rsidRPr="00C11716" w:rsidRDefault="003B1364" w:rsidP="00C11716">
      <w:pPr>
        <w:ind w:firstLine="720"/>
        <w:jc w:val="both"/>
        <w:rPr>
          <w:rFonts w:cstheme="minorHAnsi"/>
          <w:color w:val="000000"/>
          <w:sz w:val="28"/>
          <w:szCs w:val="28"/>
          <w:lang w:val="ru-RU"/>
        </w:rPr>
      </w:pPr>
      <w:proofErr w:type="gramStart"/>
      <w:r w:rsidRPr="004244C3">
        <w:rPr>
          <w:rFonts w:cstheme="minorHAnsi"/>
          <w:color w:val="000000"/>
          <w:sz w:val="28"/>
          <w:szCs w:val="28"/>
          <w:lang w:val="ru-RU"/>
        </w:rPr>
        <w:t xml:space="preserve">Учетная политика </w:t>
      </w:r>
      <w:r w:rsidR="00AC0626" w:rsidRPr="004244C3">
        <w:rPr>
          <w:rFonts w:cstheme="minorHAnsi"/>
          <w:color w:val="000000"/>
          <w:sz w:val="28"/>
          <w:szCs w:val="28"/>
          <w:lang w:val="ru-RU"/>
        </w:rPr>
        <w:t>Управления Су</w:t>
      </w:r>
      <w:r w:rsidR="004244C3">
        <w:rPr>
          <w:rFonts w:cstheme="minorHAnsi"/>
          <w:color w:val="000000"/>
          <w:sz w:val="28"/>
          <w:szCs w:val="28"/>
          <w:lang w:val="ru-RU"/>
        </w:rPr>
        <w:t xml:space="preserve">дебного департамента в Брянской </w:t>
      </w:r>
      <w:r w:rsidR="00AC0626" w:rsidRPr="004244C3">
        <w:rPr>
          <w:rFonts w:cstheme="minorHAnsi"/>
          <w:color w:val="000000"/>
          <w:sz w:val="28"/>
          <w:szCs w:val="28"/>
          <w:lang w:val="ru-RU"/>
        </w:rPr>
        <w:t xml:space="preserve"> области</w:t>
      </w:r>
      <w:r w:rsidR="004244C3">
        <w:rPr>
          <w:rFonts w:cstheme="minorHAnsi"/>
          <w:color w:val="000000"/>
          <w:sz w:val="28"/>
          <w:szCs w:val="28"/>
          <w:lang w:val="ru-RU"/>
        </w:rPr>
        <w:t xml:space="preserve"> </w:t>
      </w:r>
      <w:r w:rsidRPr="004244C3">
        <w:rPr>
          <w:rFonts w:cstheme="minorHAnsi"/>
          <w:color w:val="000000"/>
          <w:sz w:val="28"/>
          <w:szCs w:val="28"/>
          <w:lang w:val="ru-RU"/>
        </w:rPr>
        <w:t xml:space="preserve">утверждена приказом от </w:t>
      </w:r>
      <w:r w:rsidR="00C11716">
        <w:rPr>
          <w:rFonts w:cstheme="minorHAnsi"/>
          <w:color w:val="000000"/>
          <w:sz w:val="28"/>
          <w:szCs w:val="28"/>
          <w:lang w:val="ru-RU"/>
        </w:rPr>
        <w:t>27.12.2019</w:t>
      </w:r>
      <w:r w:rsidRPr="004244C3">
        <w:rPr>
          <w:rFonts w:cstheme="minorHAnsi"/>
          <w:color w:val="000000"/>
          <w:sz w:val="28"/>
          <w:szCs w:val="28"/>
          <w:lang w:val="ru-RU"/>
        </w:rPr>
        <w:t xml:space="preserve"> № </w:t>
      </w:r>
      <w:r w:rsidR="00C11716">
        <w:rPr>
          <w:rFonts w:cstheme="minorHAnsi"/>
          <w:color w:val="000000"/>
          <w:sz w:val="28"/>
          <w:szCs w:val="28"/>
          <w:lang w:val="ru-RU"/>
        </w:rPr>
        <w:t>107</w:t>
      </w:r>
      <w:r w:rsidR="00AC0626" w:rsidRPr="004244C3">
        <w:rPr>
          <w:rFonts w:cstheme="minorHAnsi"/>
          <w:color w:val="000000"/>
          <w:sz w:val="28"/>
          <w:szCs w:val="28"/>
          <w:lang w:val="ru-RU"/>
        </w:rPr>
        <w:t xml:space="preserve"> с изменениями </w:t>
      </w:r>
      <w:r w:rsidR="00DC5F0D" w:rsidRPr="004244C3">
        <w:rPr>
          <w:rFonts w:cstheme="minorHAnsi"/>
          <w:sz w:val="28"/>
          <w:szCs w:val="28"/>
          <w:lang w:val="ru-RU"/>
        </w:rPr>
        <w:t xml:space="preserve">от </w:t>
      </w:r>
      <w:r w:rsidR="00C11716" w:rsidRPr="00C11716">
        <w:rPr>
          <w:sz w:val="28"/>
          <w:szCs w:val="28"/>
          <w:lang w:val="ru-RU" w:eastAsia="ar-SA"/>
        </w:rPr>
        <w:t xml:space="preserve"> 25.12.2020 №111, от 30.12.2021 № 113, от 23.12.2022 №145, </w:t>
      </w:r>
      <w:r w:rsidR="00C11716">
        <w:rPr>
          <w:sz w:val="28"/>
          <w:szCs w:val="28"/>
          <w:lang w:val="ru-RU" w:eastAsia="ar-SA"/>
        </w:rPr>
        <w:t xml:space="preserve">от 28.12.2023 № 162, </w:t>
      </w:r>
      <w:r w:rsidR="00C11716" w:rsidRPr="00C11716">
        <w:rPr>
          <w:sz w:val="28"/>
          <w:szCs w:val="28"/>
          <w:lang w:val="ru-RU" w:eastAsia="ar-SA"/>
        </w:rPr>
        <w:t>от 26.12.2024 № 217).</w:t>
      </w:r>
      <w:proofErr w:type="gramEnd"/>
    </w:p>
    <w:p w:rsidR="00AC0626" w:rsidRDefault="00DC5F0D" w:rsidP="00C11716">
      <w:pPr>
        <w:spacing w:before="0" w:beforeAutospacing="0" w:after="0" w:afterAutospacing="0"/>
        <w:ind w:firstLine="709"/>
        <w:jc w:val="both"/>
        <w:rPr>
          <w:rFonts w:cstheme="minorHAnsi"/>
          <w:sz w:val="28"/>
          <w:szCs w:val="28"/>
          <w:lang w:val="ru-RU"/>
        </w:rPr>
      </w:pPr>
      <w:r w:rsidRPr="004244C3">
        <w:rPr>
          <w:rFonts w:cstheme="minorHAnsi"/>
          <w:sz w:val="28"/>
          <w:szCs w:val="28"/>
          <w:lang w:val="ru-RU"/>
        </w:rPr>
        <w:t xml:space="preserve">1. </w:t>
      </w:r>
      <w:r w:rsidR="00AC0626" w:rsidRPr="004244C3">
        <w:rPr>
          <w:rFonts w:cstheme="minorHAnsi"/>
          <w:sz w:val="28"/>
          <w:szCs w:val="28"/>
          <w:lang w:val="ru-RU"/>
        </w:rPr>
        <w:t>Бухгалтерский учет в Управлении осуществляется</w:t>
      </w:r>
      <w:r w:rsidR="0050725B">
        <w:rPr>
          <w:rFonts w:cstheme="minorHAnsi"/>
          <w:sz w:val="28"/>
          <w:szCs w:val="28"/>
          <w:lang w:val="ru-RU"/>
        </w:rPr>
        <w:t xml:space="preserve"> финансово-экономическим отделом</w:t>
      </w:r>
      <w:r w:rsidR="00AC0626" w:rsidRPr="004244C3">
        <w:rPr>
          <w:rFonts w:cstheme="minorHAnsi"/>
          <w:sz w:val="28"/>
          <w:szCs w:val="28"/>
          <w:lang w:val="ru-RU"/>
        </w:rPr>
        <w:t>. Отдел возглавляет Начальник отдела, который подчиняется заместителю начальника Управления - главному бухгалтеру. Работники руководствуются в работе Положением об отделе и должностными регламентами.</w:t>
      </w:r>
    </w:p>
    <w:p w:rsidR="006B33F7" w:rsidRPr="004244C3" w:rsidRDefault="006B33F7" w:rsidP="00C11716">
      <w:pPr>
        <w:spacing w:before="0" w:beforeAutospacing="0" w:after="0" w:afterAutospacing="0"/>
        <w:ind w:firstLine="709"/>
        <w:jc w:val="both"/>
        <w:rPr>
          <w:rFonts w:cstheme="minorHAnsi"/>
          <w:sz w:val="28"/>
          <w:szCs w:val="28"/>
          <w:lang w:val="ru-RU"/>
        </w:rPr>
      </w:pPr>
    </w:p>
    <w:p w:rsidR="004F570E" w:rsidRDefault="00024C16" w:rsidP="00C11716">
      <w:pPr>
        <w:spacing w:before="0" w:beforeAutospacing="0" w:after="0" w:afterAutospacing="0"/>
        <w:ind w:firstLine="709"/>
        <w:jc w:val="both"/>
        <w:rPr>
          <w:rFonts w:cstheme="minorHAnsi"/>
          <w:color w:val="000000"/>
          <w:sz w:val="28"/>
          <w:szCs w:val="28"/>
          <w:lang w:val="ru-RU"/>
        </w:rPr>
      </w:pPr>
      <w:r w:rsidRPr="004244C3">
        <w:rPr>
          <w:rFonts w:cstheme="minorHAnsi"/>
          <w:color w:val="000000"/>
          <w:sz w:val="28"/>
          <w:szCs w:val="28"/>
          <w:lang w:val="ru-RU"/>
        </w:rPr>
        <w:t xml:space="preserve">2. </w:t>
      </w:r>
      <w:r w:rsidR="003B1364" w:rsidRPr="004244C3">
        <w:rPr>
          <w:rFonts w:cstheme="minorHAnsi"/>
          <w:color w:val="000000"/>
          <w:sz w:val="28"/>
          <w:szCs w:val="28"/>
          <w:lang w:val="ru-RU"/>
        </w:rPr>
        <w:t xml:space="preserve">Ответственным за ведение бухгалтерского учета в </w:t>
      </w:r>
      <w:r w:rsidR="00AC0626" w:rsidRPr="004244C3">
        <w:rPr>
          <w:rFonts w:cstheme="minorHAnsi"/>
          <w:color w:val="000000"/>
          <w:sz w:val="28"/>
          <w:szCs w:val="28"/>
          <w:lang w:val="ru-RU"/>
        </w:rPr>
        <w:t>Управлении</w:t>
      </w:r>
      <w:r w:rsidR="003B1364" w:rsidRPr="004244C3">
        <w:rPr>
          <w:rFonts w:cstheme="minorHAnsi"/>
          <w:color w:val="000000"/>
          <w:sz w:val="28"/>
          <w:szCs w:val="28"/>
          <w:lang w:val="ru-RU"/>
        </w:rPr>
        <w:t xml:space="preserve"> является </w:t>
      </w:r>
      <w:r w:rsidR="00AC0626" w:rsidRPr="004244C3">
        <w:rPr>
          <w:rFonts w:cstheme="minorHAnsi"/>
          <w:color w:val="000000"/>
          <w:sz w:val="28"/>
          <w:szCs w:val="28"/>
          <w:lang w:val="ru-RU"/>
        </w:rPr>
        <w:t xml:space="preserve">заместитель начальника </w:t>
      </w:r>
      <w:r w:rsidR="00BE3902" w:rsidRPr="004244C3">
        <w:rPr>
          <w:rFonts w:cstheme="minorHAnsi"/>
          <w:color w:val="000000"/>
          <w:sz w:val="28"/>
          <w:szCs w:val="28"/>
          <w:lang w:val="ru-RU"/>
        </w:rPr>
        <w:t>Управления</w:t>
      </w:r>
      <w:r w:rsidR="00AC0626" w:rsidRPr="004244C3">
        <w:rPr>
          <w:rFonts w:cstheme="minorHAnsi"/>
          <w:color w:val="000000"/>
          <w:sz w:val="28"/>
          <w:szCs w:val="28"/>
          <w:lang w:val="ru-RU"/>
        </w:rPr>
        <w:t xml:space="preserve"> - </w:t>
      </w:r>
      <w:r w:rsidR="003B1364" w:rsidRPr="004244C3">
        <w:rPr>
          <w:rFonts w:cstheme="minorHAnsi"/>
          <w:color w:val="000000"/>
          <w:sz w:val="28"/>
          <w:szCs w:val="28"/>
          <w:lang w:val="ru-RU"/>
        </w:rPr>
        <w:t>главный бухгалтер.</w:t>
      </w:r>
    </w:p>
    <w:p w:rsidR="00C11716" w:rsidRPr="00C11716" w:rsidRDefault="0050725B" w:rsidP="00C11716">
      <w:pPr>
        <w:tabs>
          <w:tab w:val="left" w:pos="4140"/>
        </w:tabs>
        <w:autoSpaceDE w:val="0"/>
        <w:ind w:firstLine="709"/>
        <w:jc w:val="both"/>
        <w:rPr>
          <w:sz w:val="28"/>
          <w:szCs w:val="28"/>
          <w:lang w:val="ru-RU"/>
        </w:rPr>
      </w:pPr>
      <w:r>
        <w:rPr>
          <w:rFonts w:eastAsia="Calibri"/>
          <w:sz w:val="28"/>
          <w:szCs w:val="28"/>
          <w:lang w:val="ru-RU"/>
        </w:rPr>
        <w:t xml:space="preserve">3. </w:t>
      </w:r>
      <w:r w:rsidR="00C11716" w:rsidRPr="00C11716">
        <w:rPr>
          <w:rFonts w:eastAsia="Calibri"/>
          <w:sz w:val="28"/>
          <w:szCs w:val="28"/>
          <w:lang w:val="ru-RU"/>
        </w:rPr>
        <w:t>Бухгалтерский учет в Управлении ведется автоматизированным способом с применением следующих программных продуктов:</w:t>
      </w:r>
    </w:p>
    <w:p w:rsidR="00C11716" w:rsidRPr="00C11716" w:rsidRDefault="00C11716" w:rsidP="00C11716">
      <w:pPr>
        <w:tabs>
          <w:tab w:val="left" w:pos="4140"/>
        </w:tabs>
        <w:autoSpaceDE w:val="0"/>
        <w:ind w:firstLine="709"/>
        <w:jc w:val="both"/>
        <w:rPr>
          <w:rFonts w:eastAsia="Calibri"/>
          <w:sz w:val="28"/>
          <w:szCs w:val="28"/>
          <w:lang w:val="ru-RU"/>
        </w:rPr>
      </w:pPr>
      <w:r w:rsidRPr="00C11716">
        <w:rPr>
          <w:rFonts w:eastAsia="Calibri"/>
          <w:sz w:val="28"/>
          <w:szCs w:val="28"/>
          <w:lang w:val="ru-RU"/>
        </w:rPr>
        <w:t xml:space="preserve">- «1С: </w:t>
      </w:r>
      <w:proofErr w:type="gramStart"/>
      <w:r w:rsidRPr="00C11716">
        <w:rPr>
          <w:rFonts w:eastAsia="Calibri"/>
          <w:sz w:val="28"/>
          <w:szCs w:val="28"/>
          <w:lang w:val="ru-RU"/>
        </w:rPr>
        <w:t>Бухгалтерия государственного учреждения 2.0»</w:t>
      </w:r>
      <w:r w:rsidRPr="00C11716">
        <w:rPr>
          <w:rFonts w:eastAsia="Calibri"/>
          <w:b/>
          <w:sz w:val="28"/>
          <w:szCs w:val="28"/>
          <w:lang w:val="ru-RU"/>
        </w:rPr>
        <w:t xml:space="preserve"> </w:t>
      </w:r>
      <w:r w:rsidRPr="00C11716">
        <w:rPr>
          <w:rFonts w:eastAsia="Calibri"/>
          <w:sz w:val="28"/>
          <w:szCs w:val="28"/>
          <w:lang w:val="ru-RU"/>
        </w:rPr>
        <w:t>для учета расходов денежных средств, учета расчетов с дебиторами и кредиторами, учета основных средств, нематериальных активов, материальных запасов, санкционировании расходов, подготовки регистров учета и бюджетной отчетности и другое;</w:t>
      </w:r>
      <w:proofErr w:type="gramEnd"/>
    </w:p>
    <w:p w:rsidR="00C11716" w:rsidRPr="00C11716" w:rsidRDefault="00C11716" w:rsidP="00C11716">
      <w:pPr>
        <w:tabs>
          <w:tab w:val="left" w:pos="4140"/>
        </w:tabs>
        <w:autoSpaceDE w:val="0"/>
        <w:ind w:firstLine="709"/>
        <w:jc w:val="both"/>
        <w:rPr>
          <w:rFonts w:eastAsia="Calibri"/>
          <w:sz w:val="28"/>
          <w:szCs w:val="28"/>
          <w:lang w:val="ru-RU"/>
        </w:rPr>
      </w:pPr>
      <w:r w:rsidRPr="00C11716">
        <w:rPr>
          <w:rFonts w:eastAsia="Calibri"/>
          <w:sz w:val="28"/>
          <w:szCs w:val="28"/>
          <w:lang w:val="ru-RU"/>
        </w:rPr>
        <w:t>- «1С: Предприятие 8 Зарплата и Кадры государственного учреждения» для бухгалтерского учета начисления заработной платы, для формирования и подготовки к отправке в банк реестров на перечисление заработной платы, для подготовки индивидуальных сведений на работников в Пенсионный Фонд, для подготовки сведений в органы Федеральной налоговой службы, для подготовки отчетных документов.</w:t>
      </w:r>
    </w:p>
    <w:p w:rsidR="00C11716" w:rsidRPr="00C11716" w:rsidRDefault="0050725B" w:rsidP="00C11716">
      <w:pPr>
        <w:ind w:firstLine="709"/>
        <w:jc w:val="both"/>
        <w:rPr>
          <w:rFonts w:eastAsia="Calibri"/>
          <w:sz w:val="28"/>
          <w:szCs w:val="28"/>
          <w:lang w:val="ru-RU"/>
        </w:rPr>
      </w:pPr>
      <w:r>
        <w:rPr>
          <w:rFonts w:eastAsia="Calibri"/>
          <w:sz w:val="28"/>
          <w:szCs w:val="28"/>
          <w:lang w:val="ru-RU"/>
        </w:rPr>
        <w:t xml:space="preserve">4. </w:t>
      </w:r>
      <w:r w:rsidR="00C11716" w:rsidRPr="00C11716">
        <w:rPr>
          <w:rFonts w:eastAsia="Calibri"/>
          <w:sz w:val="28"/>
          <w:szCs w:val="28"/>
          <w:lang w:val="ru-RU"/>
        </w:rPr>
        <w:t>С использованием телекоммуникационных каналов связи и электронной цифровой подписи (далее - ЭЦП) Управление осуществляет электронный документооборот по следующим направлениям:</w:t>
      </w:r>
    </w:p>
    <w:p w:rsidR="00C11716" w:rsidRPr="00C11716" w:rsidRDefault="00C11716" w:rsidP="00C11716">
      <w:pPr>
        <w:ind w:firstLine="709"/>
        <w:jc w:val="both"/>
        <w:rPr>
          <w:rFonts w:eastAsia="Calibri"/>
          <w:sz w:val="28"/>
          <w:szCs w:val="28"/>
          <w:lang w:val="ru-RU"/>
        </w:rPr>
      </w:pPr>
      <w:r w:rsidRPr="00C11716">
        <w:rPr>
          <w:rFonts w:eastAsia="Calibri"/>
          <w:sz w:val="28"/>
          <w:szCs w:val="28"/>
          <w:lang w:val="ru-RU"/>
        </w:rPr>
        <w:lastRenderedPageBreak/>
        <w:t>- с помощью системы удаленного финансового документооборота с Управлением федерального казначейства по Брянской области в программе СУФД (обмен информацией) и ГИИС «Электронный бюджет» (отправление сведений о бюджетном обязательстве для постановки на учет, формирование платежных документов и отправка их по каналам электронной связи, обратная связь);</w:t>
      </w:r>
    </w:p>
    <w:p w:rsidR="00C11716" w:rsidRPr="00C11716" w:rsidRDefault="00C11716" w:rsidP="00C11716">
      <w:pPr>
        <w:ind w:firstLine="709"/>
        <w:jc w:val="both"/>
        <w:rPr>
          <w:rFonts w:eastAsia="Calibri"/>
          <w:sz w:val="28"/>
          <w:szCs w:val="28"/>
          <w:lang w:val="ru-RU"/>
        </w:rPr>
      </w:pPr>
      <w:r w:rsidRPr="00C11716">
        <w:rPr>
          <w:rFonts w:eastAsia="Calibri"/>
          <w:sz w:val="28"/>
          <w:szCs w:val="28"/>
          <w:lang w:val="ru-RU"/>
        </w:rPr>
        <w:t>- ведение плана – графика закупок, утверждение сметы, изменение сметы в течение отчетного периода осуществляется с использованием подсистемы Бюджетное планирование ГИИС «Электронный бюджет»;</w:t>
      </w:r>
    </w:p>
    <w:p w:rsidR="00C11716" w:rsidRPr="00C11716" w:rsidRDefault="00C11716" w:rsidP="00C11716">
      <w:pPr>
        <w:ind w:firstLine="709"/>
        <w:jc w:val="both"/>
        <w:rPr>
          <w:rFonts w:eastAsia="Calibri"/>
          <w:sz w:val="28"/>
          <w:szCs w:val="28"/>
          <w:lang w:val="ru-RU"/>
        </w:rPr>
      </w:pPr>
      <w:r w:rsidRPr="00C11716">
        <w:rPr>
          <w:rFonts w:eastAsia="Calibri"/>
          <w:sz w:val="28"/>
          <w:szCs w:val="28"/>
          <w:lang w:val="ru-RU"/>
        </w:rPr>
        <w:t>- формирование сведений и представление годовой, квартальной и оперативной бюджетной отчетности в Судебный департамент при Верховном Суде Российской Федерации в электронном виде средствами программного комплекса «</w:t>
      </w:r>
      <w:proofErr w:type="spellStart"/>
      <w:r w:rsidRPr="00C11716">
        <w:rPr>
          <w:rFonts w:eastAsia="Calibri"/>
          <w:sz w:val="28"/>
          <w:szCs w:val="28"/>
          <w:lang w:val="ru-RU"/>
        </w:rPr>
        <w:t>Аксиок</w:t>
      </w:r>
      <w:proofErr w:type="spellEnd"/>
      <w:r w:rsidRPr="00C11716">
        <w:rPr>
          <w:rFonts w:eastAsia="Calibri"/>
          <w:sz w:val="28"/>
          <w:szCs w:val="28"/>
          <w:lang w:val="ru-RU"/>
        </w:rPr>
        <w:t>» и подсистемы «Учет и отчетность» государственной интегрированной информационной системы управления государственными финансами «Электронный бюджет» (ГИИС «Электронный бюджет»);</w:t>
      </w:r>
    </w:p>
    <w:p w:rsidR="00C11716" w:rsidRPr="00C11716" w:rsidRDefault="00C11716" w:rsidP="00C11716">
      <w:pPr>
        <w:ind w:firstLine="709"/>
        <w:jc w:val="both"/>
        <w:rPr>
          <w:rFonts w:eastAsia="Calibri"/>
          <w:sz w:val="28"/>
          <w:szCs w:val="28"/>
          <w:lang w:val="ru-RU"/>
        </w:rPr>
      </w:pPr>
      <w:r w:rsidRPr="00C11716">
        <w:rPr>
          <w:rFonts w:eastAsia="Calibri"/>
          <w:sz w:val="28"/>
          <w:szCs w:val="28"/>
          <w:lang w:val="ru-RU"/>
        </w:rPr>
        <w:t>- передача отчетности по налогам, сборам и иным обязательным платежам, страховым взносам, сведениям персонифицированного учета, страхового обеспечения в инспекцию Федеральной налоговой службы, отчетности в Федеральную службу государственной статистики, в Объединенный социальный фонд России – средствами программного комплекса «</w:t>
      </w:r>
      <w:proofErr w:type="spellStart"/>
      <w:r w:rsidRPr="00C11716">
        <w:rPr>
          <w:rFonts w:eastAsia="Calibri"/>
          <w:sz w:val="28"/>
          <w:szCs w:val="28"/>
          <w:lang w:val="ru-RU"/>
        </w:rPr>
        <w:t>Сбис</w:t>
      </w:r>
      <w:proofErr w:type="spellEnd"/>
      <w:r w:rsidRPr="00C11716">
        <w:rPr>
          <w:rFonts w:eastAsia="Calibri"/>
          <w:sz w:val="28"/>
          <w:szCs w:val="28"/>
          <w:lang w:val="ru-RU"/>
        </w:rPr>
        <w:t>»;</w:t>
      </w:r>
    </w:p>
    <w:p w:rsidR="00C11716" w:rsidRPr="00C11716" w:rsidRDefault="00C11716" w:rsidP="00C11716">
      <w:pPr>
        <w:ind w:firstLine="709"/>
        <w:jc w:val="both"/>
        <w:rPr>
          <w:rFonts w:eastAsia="Calibri"/>
          <w:sz w:val="28"/>
          <w:szCs w:val="28"/>
          <w:lang w:val="ru-RU"/>
        </w:rPr>
      </w:pPr>
      <w:r w:rsidRPr="00C11716">
        <w:rPr>
          <w:rFonts w:eastAsia="Calibri"/>
          <w:sz w:val="28"/>
          <w:szCs w:val="28"/>
          <w:lang w:val="ru-RU"/>
        </w:rPr>
        <w:t>- обмен электронными первичными учетными документами по внутриведомственным расчетам по форме Извещение (ф. 0504805) между Управлением и Судебным департаментом при Верховном Суде РФ осуществляется средствами ПИ УБС модуля «Извещения» системы «Учет бюджетных средств» (ПИ УБС) подсистемы «Финансы» ГАС «Правосудие»;</w:t>
      </w:r>
    </w:p>
    <w:p w:rsidR="00C11716" w:rsidRPr="00C11716" w:rsidRDefault="00C11716" w:rsidP="00C11716">
      <w:pPr>
        <w:ind w:firstLine="709"/>
        <w:jc w:val="both"/>
        <w:rPr>
          <w:rFonts w:eastAsia="Calibri"/>
          <w:sz w:val="28"/>
          <w:szCs w:val="28"/>
          <w:lang w:val="ru-RU"/>
        </w:rPr>
      </w:pPr>
      <w:r w:rsidRPr="00C11716">
        <w:rPr>
          <w:rFonts w:eastAsia="Calibri"/>
          <w:sz w:val="28"/>
          <w:szCs w:val="28"/>
          <w:lang w:val="ru-RU"/>
        </w:rPr>
        <w:t xml:space="preserve">- с помощью </w:t>
      </w:r>
      <w:r w:rsidRPr="00C11716">
        <w:rPr>
          <w:sz w:val="28"/>
          <w:szCs w:val="28"/>
          <w:lang w:val="ru-RU"/>
        </w:rPr>
        <w:t xml:space="preserve">Программы электронной цифровой подписи документов </w:t>
      </w:r>
      <w:r w:rsidRPr="00DB73A0">
        <w:rPr>
          <w:sz w:val="28"/>
          <w:szCs w:val="28"/>
        </w:rPr>
        <w:t>SBERSIGN</w:t>
      </w:r>
      <w:r w:rsidRPr="00C11716">
        <w:rPr>
          <w:sz w:val="28"/>
          <w:szCs w:val="28"/>
          <w:lang w:val="ru-RU"/>
        </w:rPr>
        <w:t xml:space="preserve"> и программы дистанционного банковского обслуживания Сбербанк – Клиент</w:t>
      </w:r>
      <w:r w:rsidRPr="00C11716">
        <w:rPr>
          <w:b/>
          <w:sz w:val="28"/>
          <w:szCs w:val="28"/>
          <w:lang w:val="ru-RU"/>
        </w:rPr>
        <w:t xml:space="preserve"> </w:t>
      </w:r>
      <w:r w:rsidRPr="00C11716">
        <w:rPr>
          <w:sz w:val="28"/>
          <w:szCs w:val="28"/>
          <w:lang w:val="ru-RU"/>
        </w:rPr>
        <w:t>происходит передача электронных реестров, подписанных ЭЦП Управления, в банк на перечисление заработной платы</w:t>
      </w:r>
      <w:r w:rsidRPr="00C11716">
        <w:rPr>
          <w:rFonts w:eastAsia="Calibri"/>
          <w:sz w:val="28"/>
          <w:szCs w:val="28"/>
          <w:lang w:val="ru-RU"/>
        </w:rPr>
        <w:t>;</w:t>
      </w:r>
    </w:p>
    <w:p w:rsidR="00382118" w:rsidRDefault="00C11716" w:rsidP="00382118">
      <w:pPr>
        <w:ind w:firstLine="709"/>
        <w:jc w:val="both"/>
        <w:rPr>
          <w:rFonts w:eastAsia="Calibri"/>
          <w:sz w:val="28"/>
          <w:szCs w:val="28"/>
          <w:lang w:val="ru-RU"/>
        </w:rPr>
      </w:pPr>
      <w:r w:rsidRPr="00C11716">
        <w:rPr>
          <w:rFonts w:eastAsia="Calibri"/>
          <w:sz w:val="28"/>
          <w:szCs w:val="28"/>
          <w:lang w:val="ru-RU"/>
        </w:rPr>
        <w:t xml:space="preserve">- размещение информации о закупках товаров, работ, услуг и заключенных государственных контрактах осуществляется в единой информационной системе в сфере закупок на сайте </w:t>
      </w:r>
      <w:proofErr w:type="spellStart"/>
      <w:r w:rsidRPr="00DB73A0">
        <w:rPr>
          <w:rFonts w:eastAsia="Calibri"/>
          <w:sz w:val="28"/>
          <w:szCs w:val="28"/>
        </w:rPr>
        <w:t>zakupki</w:t>
      </w:r>
      <w:proofErr w:type="spellEnd"/>
      <w:r w:rsidRPr="00C11716">
        <w:rPr>
          <w:rFonts w:eastAsia="Calibri"/>
          <w:sz w:val="28"/>
          <w:szCs w:val="28"/>
          <w:lang w:val="ru-RU"/>
        </w:rPr>
        <w:t>.</w:t>
      </w:r>
      <w:proofErr w:type="spellStart"/>
      <w:r w:rsidRPr="00DB73A0">
        <w:rPr>
          <w:rFonts w:eastAsia="Calibri"/>
          <w:sz w:val="28"/>
          <w:szCs w:val="28"/>
        </w:rPr>
        <w:t>gov</w:t>
      </w:r>
      <w:proofErr w:type="spellEnd"/>
      <w:r w:rsidRPr="00C11716">
        <w:rPr>
          <w:rFonts w:eastAsia="Calibri"/>
          <w:sz w:val="28"/>
          <w:szCs w:val="28"/>
          <w:lang w:val="ru-RU"/>
        </w:rPr>
        <w:t>.</w:t>
      </w:r>
      <w:proofErr w:type="spellStart"/>
      <w:r w:rsidRPr="00DB73A0">
        <w:rPr>
          <w:rFonts w:eastAsia="Calibri"/>
          <w:sz w:val="28"/>
          <w:szCs w:val="28"/>
        </w:rPr>
        <w:t>ru</w:t>
      </w:r>
      <w:proofErr w:type="spellEnd"/>
      <w:r w:rsidR="00382118">
        <w:rPr>
          <w:rFonts w:eastAsia="Calibri"/>
          <w:sz w:val="28"/>
          <w:szCs w:val="28"/>
          <w:lang w:val="ru-RU"/>
        </w:rPr>
        <w:t>.</w:t>
      </w:r>
    </w:p>
    <w:p w:rsidR="00382118" w:rsidRDefault="00382118" w:rsidP="00382118">
      <w:pPr>
        <w:ind w:firstLine="709"/>
        <w:jc w:val="both"/>
        <w:rPr>
          <w:rFonts w:eastAsia="Calibri"/>
          <w:sz w:val="28"/>
          <w:szCs w:val="28"/>
          <w:lang w:val="ru-RU"/>
        </w:rPr>
      </w:pPr>
      <w:r>
        <w:rPr>
          <w:rFonts w:eastAsia="Calibri"/>
          <w:sz w:val="28"/>
          <w:szCs w:val="28"/>
          <w:lang w:val="ru-RU"/>
        </w:rPr>
        <w:t xml:space="preserve">5. </w:t>
      </w:r>
      <w:r w:rsidR="003B1364" w:rsidRPr="004244C3">
        <w:rPr>
          <w:rFonts w:cstheme="minorHAnsi"/>
          <w:color w:val="000000"/>
          <w:sz w:val="28"/>
          <w:szCs w:val="28"/>
          <w:lang w:val="ru-RU"/>
        </w:rPr>
        <w:t>При оформлении фактов хозяйственной жизни применяются унифицированные формы первичных учетных документов</w:t>
      </w:r>
      <w:r w:rsidR="003B1364" w:rsidRPr="004244C3">
        <w:rPr>
          <w:rFonts w:cstheme="minorHAnsi"/>
          <w:color w:val="000000"/>
          <w:sz w:val="28"/>
          <w:szCs w:val="28"/>
        </w:rPr>
        <w:t> </w:t>
      </w:r>
      <w:r w:rsidR="003B1364" w:rsidRPr="004244C3">
        <w:rPr>
          <w:rFonts w:cstheme="minorHAnsi"/>
          <w:color w:val="000000"/>
          <w:sz w:val="28"/>
          <w:szCs w:val="28"/>
          <w:lang w:val="ru-RU"/>
        </w:rPr>
        <w:t xml:space="preserve">в соответствии </w:t>
      </w:r>
      <w:r w:rsidR="003B1364" w:rsidRPr="004244C3">
        <w:rPr>
          <w:rFonts w:cstheme="minorHAnsi"/>
          <w:color w:val="000000"/>
          <w:sz w:val="28"/>
          <w:szCs w:val="28"/>
          <w:lang w:val="ru-RU"/>
        </w:rPr>
        <w:lastRenderedPageBreak/>
        <w:t>с приказами Минфина</w:t>
      </w:r>
      <w:r w:rsidR="003B1364" w:rsidRPr="004244C3">
        <w:rPr>
          <w:rFonts w:cstheme="minorHAnsi"/>
          <w:color w:val="000000"/>
          <w:sz w:val="28"/>
          <w:szCs w:val="28"/>
        </w:rPr>
        <w:t> </w:t>
      </w:r>
      <w:r w:rsidR="003B1364" w:rsidRPr="004244C3">
        <w:rPr>
          <w:rFonts w:cstheme="minorHAnsi"/>
          <w:color w:val="000000"/>
          <w:sz w:val="28"/>
          <w:szCs w:val="28"/>
          <w:lang w:val="ru-RU"/>
        </w:rPr>
        <w:t>от 30.03.2015 № 52н,</w:t>
      </w:r>
      <w:r w:rsidR="003B1364" w:rsidRPr="004244C3">
        <w:rPr>
          <w:rFonts w:cstheme="minorHAnsi"/>
          <w:color w:val="000000"/>
          <w:sz w:val="28"/>
          <w:szCs w:val="28"/>
        </w:rPr>
        <w:t> </w:t>
      </w:r>
      <w:r w:rsidR="003B1364" w:rsidRPr="004244C3">
        <w:rPr>
          <w:rFonts w:cstheme="minorHAnsi"/>
          <w:color w:val="000000"/>
          <w:sz w:val="28"/>
          <w:szCs w:val="28"/>
          <w:lang w:val="ru-RU"/>
        </w:rPr>
        <w:t>от 15.04.2021 № 61н</w:t>
      </w:r>
      <w:r w:rsidR="00DA5E1B" w:rsidRPr="004244C3">
        <w:rPr>
          <w:rFonts w:cstheme="minorHAnsi"/>
          <w:color w:val="000000"/>
          <w:sz w:val="28"/>
          <w:szCs w:val="28"/>
          <w:lang w:val="ru-RU"/>
        </w:rPr>
        <w:t xml:space="preserve"> (в редакции приказа </w:t>
      </w:r>
      <w:r w:rsidR="00DA5E1B" w:rsidRPr="004244C3">
        <w:rPr>
          <w:rFonts w:cstheme="minorHAnsi"/>
          <w:sz w:val="28"/>
          <w:szCs w:val="28"/>
          <w:lang w:val="ru-RU"/>
        </w:rPr>
        <w:t>от 28.06.2022 №100н).</w:t>
      </w:r>
    </w:p>
    <w:p w:rsidR="00382118" w:rsidRDefault="00382118" w:rsidP="00382118">
      <w:pPr>
        <w:ind w:firstLine="709"/>
        <w:jc w:val="both"/>
        <w:rPr>
          <w:rFonts w:cstheme="minorHAnsi"/>
          <w:sz w:val="28"/>
          <w:szCs w:val="28"/>
          <w:lang w:val="ru-RU"/>
        </w:rPr>
      </w:pPr>
      <w:r>
        <w:rPr>
          <w:rFonts w:eastAsia="Calibri"/>
          <w:sz w:val="28"/>
          <w:szCs w:val="28"/>
          <w:lang w:val="ru-RU"/>
        </w:rPr>
        <w:t xml:space="preserve">6. </w:t>
      </w:r>
      <w:r w:rsidR="005E12EA" w:rsidRPr="004244C3">
        <w:rPr>
          <w:rFonts w:cstheme="minorHAnsi"/>
          <w:sz w:val="28"/>
          <w:szCs w:val="28"/>
          <w:lang w:val="ru-RU"/>
        </w:rPr>
        <w:t>Бюджетный учет ведется по первичным документам, которые проверены работниками отделов Управления (ответственными исполнителями) и работниками бухгалтерии в соответствии с Положением о внутреннем финансовом контроле (Приложение №</w:t>
      </w:r>
      <w:r w:rsidR="0050725B">
        <w:rPr>
          <w:rFonts w:cstheme="minorHAnsi"/>
          <w:sz w:val="28"/>
          <w:szCs w:val="28"/>
          <w:lang w:val="ru-RU"/>
        </w:rPr>
        <w:t>7</w:t>
      </w:r>
      <w:r>
        <w:rPr>
          <w:rFonts w:cstheme="minorHAnsi"/>
          <w:sz w:val="28"/>
          <w:szCs w:val="28"/>
          <w:lang w:val="ru-RU"/>
        </w:rPr>
        <w:t>).</w:t>
      </w:r>
    </w:p>
    <w:p w:rsidR="00382118" w:rsidRDefault="00382118" w:rsidP="00382118">
      <w:pPr>
        <w:ind w:firstLine="709"/>
        <w:jc w:val="both"/>
        <w:rPr>
          <w:rFonts w:eastAsia="Calibri"/>
          <w:sz w:val="28"/>
          <w:szCs w:val="28"/>
          <w:lang w:val="ru-RU"/>
        </w:rPr>
      </w:pPr>
      <w:r>
        <w:rPr>
          <w:rFonts w:cstheme="minorHAnsi"/>
          <w:sz w:val="28"/>
          <w:szCs w:val="28"/>
          <w:lang w:val="ru-RU"/>
        </w:rPr>
        <w:t xml:space="preserve">7. </w:t>
      </w:r>
      <w:r w:rsidR="005E12EA" w:rsidRPr="004244C3">
        <w:rPr>
          <w:rFonts w:cstheme="minorHAnsi"/>
          <w:sz w:val="28"/>
          <w:szCs w:val="28"/>
          <w:lang w:val="ru-RU"/>
        </w:rPr>
        <w:t>Инвентаризаци</w:t>
      </w:r>
      <w:r w:rsidR="00DA5E1B" w:rsidRPr="004244C3">
        <w:rPr>
          <w:rFonts w:cstheme="minorHAnsi"/>
          <w:sz w:val="28"/>
          <w:szCs w:val="28"/>
          <w:lang w:val="ru-RU"/>
        </w:rPr>
        <w:t>я</w:t>
      </w:r>
      <w:r w:rsidR="005E12EA" w:rsidRPr="004244C3">
        <w:rPr>
          <w:rFonts w:cstheme="minorHAnsi"/>
          <w:sz w:val="28"/>
          <w:szCs w:val="28"/>
          <w:lang w:val="ru-RU"/>
        </w:rPr>
        <w:t xml:space="preserve"> </w:t>
      </w:r>
      <w:r w:rsidR="00DA5E1B" w:rsidRPr="004244C3">
        <w:rPr>
          <w:rFonts w:cstheme="minorHAnsi"/>
          <w:sz w:val="28"/>
          <w:szCs w:val="28"/>
          <w:lang w:val="ru-RU"/>
        </w:rPr>
        <w:t>активов и обязатель</w:t>
      </w:r>
      <w:proofErr w:type="gramStart"/>
      <w:r w:rsidR="00DA5E1B" w:rsidRPr="004244C3">
        <w:rPr>
          <w:rFonts w:cstheme="minorHAnsi"/>
          <w:sz w:val="28"/>
          <w:szCs w:val="28"/>
          <w:lang w:val="ru-RU"/>
        </w:rPr>
        <w:t>ств пр</w:t>
      </w:r>
      <w:proofErr w:type="gramEnd"/>
      <w:r w:rsidR="00DA5E1B" w:rsidRPr="004244C3">
        <w:rPr>
          <w:rFonts w:cstheme="minorHAnsi"/>
          <w:sz w:val="28"/>
          <w:szCs w:val="28"/>
          <w:lang w:val="ru-RU"/>
        </w:rPr>
        <w:t xml:space="preserve">оводится в соответствии с </w:t>
      </w:r>
      <w:r w:rsidR="005E12EA" w:rsidRPr="004244C3">
        <w:rPr>
          <w:rFonts w:cstheme="minorHAnsi"/>
          <w:sz w:val="28"/>
          <w:szCs w:val="28"/>
          <w:lang w:val="ru-RU"/>
        </w:rPr>
        <w:t xml:space="preserve"> </w:t>
      </w:r>
      <w:r w:rsidR="0050725B">
        <w:rPr>
          <w:rFonts w:cstheme="minorHAnsi"/>
          <w:sz w:val="28"/>
          <w:szCs w:val="28"/>
          <w:lang w:val="ru-RU"/>
        </w:rPr>
        <w:t xml:space="preserve">Положением об инвентаризации и </w:t>
      </w:r>
      <w:r w:rsidR="00632E88" w:rsidRPr="004244C3">
        <w:rPr>
          <w:rFonts w:cstheme="minorHAnsi"/>
          <w:sz w:val="28"/>
          <w:szCs w:val="28"/>
          <w:lang w:val="ru-RU"/>
        </w:rPr>
        <w:t>инвентар</w:t>
      </w:r>
      <w:r w:rsidR="0050725B">
        <w:rPr>
          <w:rFonts w:cstheme="minorHAnsi"/>
          <w:sz w:val="28"/>
          <w:szCs w:val="28"/>
          <w:lang w:val="ru-RU"/>
        </w:rPr>
        <w:t>изационной комиссии, утвержденны</w:t>
      </w:r>
      <w:r w:rsidR="00632E88" w:rsidRPr="004244C3">
        <w:rPr>
          <w:rFonts w:cstheme="minorHAnsi"/>
          <w:sz w:val="28"/>
          <w:szCs w:val="28"/>
          <w:lang w:val="ru-RU"/>
        </w:rPr>
        <w:t xml:space="preserve">м в </w:t>
      </w:r>
      <w:r w:rsidR="005E12EA" w:rsidRPr="004244C3">
        <w:rPr>
          <w:rFonts w:cstheme="minorHAnsi"/>
          <w:sz w:val="28"/>
          <w:szCs w:val="28"/>
          <w:lang w:val="ru-RU"/>
        </w:rPr>
        <w:t>Приложени</w:t>
      </w:r>
      <w:r w:rsidR="0050725B">
        <w:rPr>
          <w:rFonts w:cstheme="minorHAnsi"/>
          <w:sz w:val="28"/>
          <w:szCs w:val="28"/>
          <w:lang w:val="ru-RU"/>
        </w:rPr>
        <w:t>и</w:t>
      </w:r>
      <w:r w:rsidR="005E12EA" w:rsidRPr="004244C3">
        <w:rPr>
          <w:rFonts w:cstheme="minorHAnsi"/>
          <w:sz w:val="28"/>
          <w:szCs w:val="28"/>
          <w:lang w:val="ru-RU"/>
        </w:rPr>
        <w:t xml:space="preserve"> №</w:t>
      </w:r>
      <w:r w:rsidR="0050725B">
        <w:rPr>
          <w:rFonts w:cstheme="minorHAnsi"/>
          <w:sz w:val="28"/>
          <w:szCs w:val="28"/>
          <w:lang w:val="ru-RU"/>
        </w:rPr>
        <w:t>4</w:t>
      </w:r>
      <w:r w:rsidR="00632E88" w:rsidRPr="004244C3">
        <w:rPr>
          <w:rFonts w:cstheme="minorHAnsi"/>
          <w:sz w:val="28"/>
          <w:szCs w:val="28"/>
          <w:lang w:val="ru-RU"/>
        </w:rPr>
        <w:t xml:space="preserve"> к настоящей Учетной политике.</w:t>
      </w:r>
    </w:p>
    <w:p w:rsidR="00382118" w:rsidRDefault="00382118" w:rsidP="00382118">
      <w:pPr>
        <w:ind w:firstLine="709"/>
        <w:jc w:val="both"/>
        <w:rPr>
          <w:rFonts w:eastAsia="Calibri"/>
          <w:sz w:val="28"/>
          <w:szCs w:val="28"/>
          <w:lang w:val="ru-RU"/>
        </w:rPr>
      </w:pPr>
      <w:r>
        <w:rPr>
          <w:rFonts w:eastAsia="Calibri"/>
          <w:sz w:val="28"/>
          <w:szCs w:val="28"/>
          <w:lang w:val="ru-RU"/>
        </w:rPr>
        <w:t xml:space="preserve">8.  </w:t>
      </w:r>
      <w:r w:rsidR="003B1364" w:rsidRPr="004244C3">
        <w:rPr>
          <w:rFonts w:cstheme="minorHAnsi"/>
          <w:color w:val="000000"/>
          <w:sz w:val="28"/>
          <w:szCs w:val="28"/>
          <w:lang w:val="ru-RU"/>
        </w:rPr>
        <w:t>Для случаев, которые не установлены в федеральных стандартах и других нормативно-правовых актах, регулирующих бух</w:t>
      </w:r>
      <w:r w:rsidR="005E12EA" w:rsidRPr="004244C3">
        <w:rPr>
          <w:rFonts w:cstheme="minorHAnsi"/>
          <w:color w:val="000000"/>
          <w:sz w:val="28"/>
          <w:szCs w:val="28"/>
          <w:lang w:val="ru-RU"/>
        </w:rPr>
        <w:t xml:space="preserve">галтерский </w:t>
      </w:r>
      <w:r w:rsidR="003B1364" w:rsidRPr="004244C3">
        <w:rPr>
          <w:rFonts w:cstheme="minorHAnsi"/>
          <w:color w:val="000000"/>
          <w:sz w:val="28"/>
          <w:szCs w:val="28"/>
          <w:lang w:val="ru-RU"/>
        </w:rPr>
        <w:t xml:space="preserve">учет, метод определения справедливой стоимости выбирает комиссия </w:t>
      </w:r>
      <w:r w:rsidR="005E12EA" w:rsidRPr="004244C3">
        <w:rPr>
          <w:rFonts w:cstheme="minorHAnsi"/>
          <w:color w:val="000000"/>
          <w:sz w:val="28"/>
          <w:szCs w:val="28"/>
          <w:lang w:val="ru-RU"/>
        </w:rPr>
        <w:t xml:space="preserve">Управления </w:t>
      </w:r>
      <w:r w:rsidR="003B1364" w:rsidRPr="004244C3">
        <w:rPr>
          <w:rFonts w:cstheme="minorHAnsi"/>
          <w:color w:val="000000"/>
          <w:sz w:val="28"/>
          <w:szCs w:val="28"/>
          <w:lang w:val="ru-RU"/>
        </w:rPr>
        <w:t xml:space="preserve"> по поступлению и выбытию активов.</w:t>
      </w:r>
    </w:p>
    <w:p w:rsidR="002E1748" w:rsidRDefault="00382118" w:rsidP="002E1748">
      <w:pPr>
        <w:ind w:firstLine="709"/>
        <w:jc w:val="both"/>
        <w:rPr>
          <w:rFonts w:cstheme="minorHAnsi"/>
          <w:color w:val="000000"/>
          <w:sz w:val="28"/>
          <w:szCs w:val="28"/>
          <w:lang w:val="ru-RU"/>
        </w:rPr>
      </w:pPr>
      <w:r>
        <w:rPr>
          <w:rFonts w:eastAsia="Calibri"/>
          <w:sz w:val="28"/>
          <w:szCs w:val="28"/>
          <w:lang w:val="ru-RU"/>
        </w:rPr>
        <w:t>9.</w:t>
      </w:r>
      <w:r w:rsidR="003B1364" w:rsidRPr="004244C3">
        <w:rPr>
          <w:rFonts w:cstheme="minorHAnsi"/>
          <w:color w:val="000000"/>
          <w:sz w:val="28"/>
          <w:szCs w:val="28"/>
          <w:lang w:val="ru-RU"/>
        </w:rPr>
        <w:t xml:space="preserve"> </w:t>
      </w:r>
      <w:r w:rsidR="005E12EA" w:rsidRPr="004244C3">
        <w:rPr>
          <w:rFonts w:cstheme="minorHAnsi"/>
          <w:color w:val="000000"/>
          <w:sz w:val="28"/>
          <w:szCs w:val="28"/>
          <w:lang w:val="ru-RU"/>
        </w:rPr>
        <w:t xml:space="preserve">Управление </w:t>
      </w:r>
      <w:r w:rsidR="003B1364" w:rsidRPr="004244C3">
        <w:rPr>
          <w:rFonts w:cstheme="minorHAnsi"/>
          <w:color w:val="000000"/>
          <w:sz w:val="28"/>
          <w:szCs w:val="28"/>
          <w:lang w:val="ru-RU"/>
        </w:rPr>
        <w:t xml:space="preserve"> учитывает в составе основных средств </w:t>
      </w:r>
      <w:r>
        <w:rPr>
          <w:rFonts w:cstheme="minorHAnsi"/>
          <w:color w:val="000000"/>
          <w:sz w:val="28"/>
          <w:szCs w:val="28"/>
          <w:lang w:val="ru-RU"/>
        </w:rPr>
        <w:t xml:space="preserve">нефинансовые активы </w:t>
      </w:r>
      <w:r w:rsidR="003B1364" w:rsidRPr="004244C3">
        <w:rPr>
          <w:rFonts w:cstheme="minorHAnsi"/>
          <w:color w:val="000000"/>
          <w:sz w:val="28"/>
          <w:szCs w:val="28"/>
          <w:lang w:val="ru-RU"/>
        </w:rPr>
        <w:t>независимо от их стоимости</w:t>
      </w:r>
      <w:r w:rsidR="003B1364" w:rsidRPr="004244C3">
        <w:rPr>
          <w:rFonts w:cstheme="minorHAnsi"/>
          <w:color w:val="000000"/>
          <w:sz w:val="28"/>
          <w:szCs w:val="28"/>
        </w:rPr>
        <w:t> </w:t>
      </w:r>
      <w:r>
        <w:rPr>
          <w:rFonts w:cstheme="minorHAnsi"/>
          <w:color w:val="000000"/>
          <w:sz w:val="28"/>
          <w:szCs w:val="28"/>
          <w:lang w:val="ru-RU"/>
        </w:rPr>
        <w:t xml:space="preserve">со </w:t>
      </w:r>
      <w:r w:rsidR="003B1364" w:rsidRPr="004244C3">
        <w:rPr>
          <w:rFonts w:cstheme="minorHAnsi"/>
          <w:color w:val="000000"/>
          <w:sz w:val="28"/>
          <w:szCs w:val="28"/>
          <w:lang w:val="ru-RU"/>
        </w:rPr>
        <w:t>сроком полезного использования более 12 месяцев</w:t>
      </w:r>
      <w:r>
        <w:rPr>
          <w:rFonts w:cstheme="minorHAnsi"/>
          <w:color w:val="000000"/>
          <w:sz w:val="28"/>
          <w:szCs w:val="28"/>
          <w:lang w:val="ru-RU"/>
        </w:rPr>
        <w:t xml:space="preserve">. </w:t>
      </w:r>
      <w:r w:rsidR="003B1364" w:rsidRPr="004244C3">
        <w:rPr>
          <w:rFonts w:cstheme="minorHAnsi"/>
          <w:color w:val="000000"/>
          <w:sz w:val="28"/>
          <w:szCs w:val="28"/>
          <w:lang w:val="ru-RU"/>
        </w:rPr>
        <w:t xml:space="preserve">Перечень объектов, которые относятся к группе «Инвентарь производственный и хозяйственный», приведен в </w:t>
      </w:r>
      <w:r w:rsidR="00DC5F0D" w:rsidRPr="004244C3">
        <w:rPr>
          <w:rFonts w:cstheme="minorHAnsi"/>
          <w:color w:val="000000"/>
          <w:sz w:val="28"/>
          <w:szCs w:val="28"/>
          <w:lang w:val="ru-RU"/>
        </w:rPr>
        <w:t>П</w:t>
      </w:r>
      <w:r w:rsidR="003B1364" w:rsidRPr="004244C3">
        <w:rPr>
          <w:rFonts w:cstheme="minorHAnsi"/>
          <w:color w:val="000000"/>
          <w:sz w:val="28"/>
          <w:szCs w:val="28"/>
          <w:lang w:val="ru-RU"/>
        </w:rPr>
        <w:t xml:space="preserve">риложении </w:t>
      </w:r>
      <w:r>
        <w:rPr>
          <w:rFonts w:cstheme="minorHAnsi"/>
          <w:color w:val="000000"/>
          <w:sz w:val="28"/>
          <w:szCs w:val="28"/>
          <w:lang w:val="ru-RU"/>
        </w:rPr>
        <w:t>№ 15</w:t>
      </w:r>
      <w:r w:rsidR="003B1364" w:rsidRPr="004244C3">
        <w:rPr>
          <w:rFonts w:cstheme="minorHAnsi"/>
          <w:color w:val="000000"/>
          <w:sz w:val="28"/>
          <w:szCs w:val="28"/>
          <w:lang w:val="ru-RU"/>
        </w:rPr>
        <w:t>.</w:t>
      </w:r>
    </w:p>
    <w:p w:rsidR="002E1748" w:rsidRDefault="002E1748" w:rsidP="002E1748">
      <w:pPr>
        <w:ind w:firstLine="709"/>
        <w:jc w:val="both"/>
        <w:rPr>
          <w:rFonts w:cstheme="minorHAnsi"/>
          <w:color w:val="000000"/>
          <w:sz w:val="28"/>
          <w:szCs w:val="28"/>
          <w:lang w:val="ru-RU"/>
        </w:rPr>
      </w:pPr>
      <w:r>
        <w:rPr>
          <w:rFonts w:cstheme="minorHAnsi"/>
          <w:color w:val="000000"/>
          <w:sz w:val="28"/>
          <w:szCs w:val="28"/>
          <w:lang w:val="ru-RU"/>
        </w:rPr>
        <w:t xml:space="preserve">10. </w:t>
      </w:r>
      <w:r w:rsidRPr="004244C3">
        <w:rPr>
          <w:rFonts w:cstheme="minorHAnsi"/>
          <w:sz w:val="28"/>
          <w:szCs w:val="28"/>
          <w:lang w:val="ru-RU"/>
        </w:rPr>
        <w:t>Основные средства стоимостью до 10</w:t>
      </w:r>
      <w:r w:rsidRPr="004244C3">
        <w:rPr>
          <w:rFonts w:cstheme="minorHAnsi"/>
          <w:sz w:val="28"/>
          <w:szCs w:val="28"/>
        </w:rPr>
        <w:t> </w:t>
      </w:r>
      <w:r w:rsidRPr="004244C3">
        <w:rPr>
          <w:rFonts w:cstheme="minorHAnsi"/>
          <w:sz w:val="28"/>
          <w:szCs w:val="28"/>
          <w:lang w:val="ru-RU"/>
        </w:rPr>
        <w:t xml:space="preserve">000 руб. включительно, находящиеся в эксплуатации, учитываются на одноименном </w:t>
      </w:r>
      <w:proofErr w:type="spellStart"/>
      <w:r w:rsidRPr="004244C3">
        <w:rPr>
          <w:rFonts w:cstheme="minorHAnsi"/>
          <w:sz w:val="28"/>
          <w:szCs w:val="28"/>
          <w:lang w:val="ru-RU"/>
        </w:rPr>
        <w:t>забалансовом</w:t>
      </w:r>
      <w:proofErr w:type="spellEnd"/>
      <w:r w:rsidRPr="004244C3">
        <w:rPr>
          <w:rFonts w:cstheme="minorHAnsi"/>
          <w:sz w:val="28"/>
          <w:szCs w:val="28"/>
          <w:lang w:val="ru-RU"/>
        </w:rPr>
        <w:t xml:space="preserve"> счете 21 «Основные средства в эксплуатации» по балансовой стоимости</w:t>
      </w:r>
      <w:r w:rsidRPr="004244C3">
        <w:rPr>
          <w:rFonts w:cstheme="minorHAnsi"/>
          <w:color w:val="000000"/>
          <w:sz w:val="28"/>
          <w:szCs w:val="28"/>
          <w:lang w:val="ru-RU"/>
        </w:rPr>
        <w:t>.</w:t>
      </w:r>
    </w:p>
    <w:p w:rsidR="002E1748" w:rsidRDefault="002E1748" w:rsidP="002E1748">
      <w:pPr>
        <w:ind w:firstLine="709"/>
        <w:jc w:val="both"/>
        <w:rPr>
          <w:sz w:val="28"/>
          <w:szCs w:val="28"/>
          <w:lang w:val="ru-RU"/>
        </w:rPr>
      </w:pPr>
      <w:r>
        <w:rPr>
          <w:sz w:val="28"/>
          <w:szCs w:val="28"/>
          <w:lang w:val="ru-RU"/>
        </w:rPr>
        <w:t xml:space="preserve">11. </w:t>
      </w:r>
      <w:r w:rsidRPr="002E1748">
        <w:rPr>
          <w:sz w:val="28"/>
          <w:szCs w:val="28"/>
          <w:lang w:val="ru-RU"/>
        </w:rPr>
        <w:t>Каждому объекту недвижимого, а также движимого имущества стоимостью свыше 10 000 руб. присваивается уникальный инвентарный номер, состоящий из десяти знаков. Формирование инвентарных номеров, присваиваемых основным средствам (за исключением объектов стоимостью до 10000 руб.), осуществляется автоматически с использованием программного продукта «1С: Предприятие 8 – Бухгалтерия государственного учреждения».</w:t>
      </w:r>
    </w:p>
    <w:p w:rsidR="002E1748" w:rsidRDefault="002E1748" w:rsidP="002E1748">
      <w:pPr>
        <w:ind w:firstLine="709"/>
        <w:jc w:val="both"/>
        <w:rPr>
          <w:sz w:val="28"/>
          <w:szCs w:val="28"/>
          <w:lang w:val="ru-RU"/>
        </w:rPr>
      </w:pPr>
      <w:r>
        <w:rPr>
          <w:sz w:val="28"/>
          <w:szCs w:val="28"/>
          <w:lang w:val="ru-RU"/>
        </w:rPr>
        <w:t xml:space="preserve">12. </w:t>
      </w:r>
      <w:r w:rsidRPr="002E1748">
        <w:rPr>
          <w:sz w:val="28"/>
          <w:szCs w:val="28"/>
          <w:lang w:val="ru-RU"/>
        </w:rPr>
        <w:t>При невозможности обозначения инвентарного номера на объекте основных средств ему присваивается инвентарный номер в целях бюджетного учета без нанесения на объект основного средства.</w:t>
      </w:r>
      <w:r>
        <w:rPr>
          <w:sz w:val="28"/>
          <w:szCs w:val="28"/>
          <w:lang w:val="ru-RU"/>
        </w:rPr>
        <w:t xml:space="preserve"> </w:t>
      </w:r>
      <w:proofErr w:type="gramStart"/>
      <w:r w:rsidRPr="002E1748">
        <w:rPr>
          <w:sz w:val="28"/>
          <w:szCs w:val="28"/>
          <w:lang w:val="ru-RU"/>
        </w:rPr>
        <w:t>Перечень основных средств, на которые не наносятся инвентарные номера: здания (сооружения), квартира, автотранспортные средства, флаг, люстра,  дорожка ковровая, ковер, антенна, вывески, автомобильные чехлы</w:t>
      </w:r>
      <w:r>
        <w:rPr>
          <w:sz w:val="28"/>
          <w:szCs w:val="28"/>
          <w:lang w:val="ru-RU"/>
        </w:rPr>
        <w:t>.</w:t>
      </w:r>
      <w:proofErr w:type="gramEnd"/>
    </w:p>
    <w:p w:rsidR="002E1748" w:rsidRDefault="002E1748" w:rsidP="002E1748">
      <w:pPr>
        <w:ind w:firstLine="709"/>
        <w:jc w:val="both"/>
        <w:rPr>
          <w:sz w:val="28"/>
          <w:szCs w:val="28"/>
          <w:lang w:val="ru-RU"/>
        </w:rPr>
      </w:pPr>
      <w:r>
        <w:rPr>
          <w:rFonts w:cstheme="minorHAnsi"/>
          <w:color w:val="000000"/>
          <w:sz w:val="28"/>
          <w:szCs w:val="28"/>
          <w:lang w:val="ru-RU"/>
        </w:rPr>
        <w:t>13</w:t>
      </w:r>
      <w:r w:rsidR="00382118">
        <w:rPr>
          <w:rFonts w:cstheme="minorHAnsi"/>
          <w:color w:val="000000"/>
          <w:sz w:val="28"/>
          <w:szCs w:val="28"/>
          <w:lang w:val="ru-RU"/>
        </w:rPr>
        <w:t>.</w:t>
      </w:r>
      <w:r w:rsidR="00382118" w:rsidRPr="00382118">
        <w:rPr>
          <w:sz w:val="28"/>
          <w:szCs w:val="28"/>
          <w:lang w:val="ru-RU"/>
        </w:rPr>
        <w:t xml:space="preserve"> </w:t>
      </w:r>
      <w:proofErr w:type="gramStart"/>
      <w:r w:rsidR="00382118" w:rsidRPr="00382118">
        <w:rPr>
          <w:sz w:val="28"/>
          <w:szCs w:val="28"/>
          <w:lang w:val="ru-RU"/>
        </w:rPr>
        <w:t xml:space="preserve">Объекты основных средств, списанные с учета до момента утилизации, а также объекты основных средств, не обладающие полезным </w:t>
      </w:r>
      <w:r w:rsidR="00382118" w:rsidRPr="00382118">
        <w:rPr>
          <w:sz w:val="28"/>
          <w:szCs w:val="28"/>
          <w:lang w:val="ru-RU"/>
        </w:rPr>
        <w:lastRenderedPageBreak/>
        <w:t xml:space="preserve">потенциалом или способностью приносить экономические выгоды, по которым комиссией по поступлению и выбытию активов Управления установлена неэффективность дальнейшей эксплуатации, ремонта, восстановления (несоответствие критериям актива), подлежат отражению на </w:t>
      </w:r>
      <w:proofErr w:type="spellStart"/>
      <w:r w:rsidR="00382118" w:rsidRPr="00382118">
        <w:rPr>
          <w:sz w:val="28"/>
          <w:szCs w:val="28"/>
          <w:lang w:val="ru-RU"/>
        </w:rPr>
        <w:t>забалансовом</w:t>
      </w:r>
      <w:proofErr w:type="spellEnd"/>
      <w:r w:rsidR="00382118" w:rsidRPr="00382118">
        <w:rPr>
          <w:sz w:val="28"/>
          <w:szCs w:val="28"/>
          <w:lang w:val="ru-RU"/>
        </w:rPr>
        <w:t xml:space="preserve"> счете 02 «Материальные ценности на хранении» до дальнейшего определения функционального назначения указанного имущества (списания).</w:t>
      </w:r>
      <w:proofErr w:type="gramEnd"/>
      <w:r w:rsidR="00382118" w:rsidRPr="00382118">
        <w:rPr>
          <w:sz w:val="28"/>
          <w:szCs w:val="28"/>
          <w:lang w:val="ru-RU"/>
        </w:rPr>
        <w:t xml:space="preserve"> Дальнейшее начисление амортизации на указанные объекты имущества не произ</w:t>
      </w:r>
      <w:r>
        <w:rPr>
          <w:sz w:val="28"/>
          <w:szCs w:val="28"/>
          <w:lang w:val="ru-RU"/>
        </w:rPr>
        <w:t>водится.</w:t>
      </w:r>
    </w:p>
    <w:p w:rsidR="00A7401A" w:rsidRDefault="002E1748" w:rsidP="00A7401A">
      <w:pPr>
        <w:ind w:firstLine="709"/>
        <w:jc w:val="both"/>
        <w:rPr>
          <w:rFonts w:cstheme="minorHAnsi"/>
          <w:sz w:val="28"/>
          <w:szCs w:val="28"/>
          <w:lang w:val="ru-RU"/>
        </w:rPr>
      </w:pPr>
      <w:r>
        <w:rPr>
          <w:rFonts w:cstheme="minorHAnsi"/>
          <w:color w:val="000000"/>
          <w:sz w:val="28"/>
          <w:szCs w:val="28"/>
          <w:lang w:val="ru-RU"/>
        </w:rPr>
        <w:t>14</w:t>
      </w:r>
      <w:r w:rsidR="003B1364" w:rsidRPr="004244C3">
        <w:rPr>
          <w:rFonts w:cstheme="minorHAnsi"/>
          <w:color w:val="000000"/>
          <w:sz w:val="28"/>
          <w:szCs w:val="28"/>
          <w:lang w:val="ru-RU"/>
        </w:rPr>
        <w:t xml:space="preserve">. </w:t>
      </w:r>
      <w:r w:rsidR="008E3C4B" w:rsidRPr="004244C3">
        <w:rPr>
          <w:rFonts w:cstheme="minorHAnsi"/>
          <w:sz w:val="28"/>
          <w:szCs w:val="28"/>
          <w:lang w:val="ru-RU"/>
        </w:rPr>
        <w:t>Начисление амортизации осуществляется линейным методом.</w:t>
      </w:r>
    </w:p>
    <w:p w:rsidR="00A7401A" w:rsidRPr="00A7401A" w:rsidRDefault="002E1748" w:rsidP="00A7401A">
      <w:pPr>
        <w:ind w:firstLine="709"/>
        <w:jc w:val="both"/>
        <w:rPr>
          <w:rFonts w:cstheme="minorHAnsi"/>
          <w:sz w:val="28"/>
          <w:szCs w:val="28"/>
          <w:lang w:val="ru-RU"/>
        </w:rPr>
      </w:pPr>
      <w:r>
        <w:rPr>
          <w:rFonts w:cstheme="minorHAnsi"/>
          <w:sz w:val="28"/>
          <w:szCs w:val="28"/>
          <w:lang w:val="ru-RU"/>
        </w:rPr>
        <w:t>15.</w:t>
      </w:r>
      <w:r w:rsidR="003B1364" w:rsidRPr="002E1748">
        <w:rPr>
          <w:rFonts w:cstheme="minorHAnsi"/>
          <w:color w:val="000000"/>
          <w:sz w:val="28"/>
          <w:szCs w:val="28"/>
          <w:lang w:val="ru-RU"/>
        </w:rPr>
        <w:t xml:space="preserve"> </w:t>
      </w:r>
      <w:r w:rsidR="00A7401A" w:rsidRPr="00A7401A">
        <w:rPr>
          <w:sz w:val="28"/>
          <w:szCs w:val="28"/>
          <w:lang w:val="ru-RU"/>
        </w:rPr>
        <w:t xml:space="preserve"> Управление учитывает в составе материальных запасов материальные объекты, указанные в пунктах 98-99 Инструкции № 157н, а также производственный и хозяйственный инвентарь, перечень которого приведен в Приложении № 15.</w:t>
      </w:r>
    </w:p>
    <w:p w:rsidR="00A7401A" w:rsidRDefault="00A7401A" w:rsidP="00A7401A">
      <w:pPr>
        <w:ind w:firstLine="709"/>
        <w:jc w:val="both"/>
        <w:rPr>
          <w:sz w:val="28"/>
          <w:szCs w:val="28"/>
          <w:lang w:val="ru-RU"/>
        </w:rPr>
      </w:pPr>
      <w:r w:rsidRPr="00A7401A">
        <w:rPr>
          <w:sz w:val="28"/>
          <w:szCs w:val="28"/>
          <w:lang w:val="ru-RU"/>
        </w:rPr>
        <w:t xml:space="preserve">Единица учета материальных запасов в учреждении – номенклатурная (реестровая) единица. </w:t>
      </w:r>
    </w:p>
    <w:p w:rsidR="00A7401A" w:rsidRDefault="00A7401A" w:rsidP="00A7401A">
      <w:pPr>
        <w:ind w:firstLine="709"/>
        <w:jc w:val="both"/>
        <w:rPr>
          <w:rFonts w:cstheme="minorHAnsi"/>
          <w:sz w:val="28"/>
          <w:szCs w:val="28"/>
          <w:lang w:val="ru-RU"/>
        </w:rPr>
      </w:pPr>
      <w:r>
        <w:rPr>
          <w:sz w:val="28"/>
          <w:szCs w:val="28"/>
          <w:lang w:val="ru-RU"/>
        </w:rPr>
        <w:t xml:space="preserve">16. </w:t>
      </w:r>
      <w:r w:rsidR="003B1364" w:rsidRPr="004244C3">
        <w:rPr>
          <w:rFonts w:cstheme="minorHAnsi"/>
          <w:color w:val="000000"/>
          <w:sz w:val="28"/>
          <w:szCs w:val="28"/>
        </w:rPr>
        <w:t> </w:t>
      </w:r>
      <w:r w:rsidR="00024C16" w:rsidRPr="004244C3">
        <w:rPr>
          <w:rFonts w:cstheme="minorHAnsi"/>
          <w:sz w:val="28"/>
          <w:szCs w:val="28"/>
          <w:lang w:val="ru-RU"/>
        </w:rPr>
        <w:t>Списание материальных запасов производится по средн</w:t>
      </w:r>
      <w:r>
        <w:rPr>
          <w:rFonts w:cstheme="minorHAnsi"/>
          <w:sz w:val="28"/>
          <w:szCs w:val="28"/>
          <w:lang w:val="ru-RU"/>
        </w:rPr>
        <w:t xml:space="preserve">ей фактической стоимости, кроме </w:t>
      </w:r>
      <w:r w:rsidR="00FD2D1C">
        <w:rPr>
          <w:rFonts w:cstheme="minorHAnsi"/>
          <w:sz w:val="28"/>
          <w:szCs w:val="28"/>
          <w:lang w:val="ru-RU"/>
        </w:rPr>
        <w:t xml:space="preserve">форменного обмундирования, </w:t>
      </w:r>
      <w:r w:rsidR="00024C16" w:rsidRPr="004244C3">
        <w:rPr>
          <w:rFonts w:cstheme="minorHAnsi"/>
          <w:sz w:val="28"/>
          <w:szCs w:val="28"/>
          <w:lang w:val="ru-RU"/>
        </w:rPr>
        <w:t>списание</w:t>
      </w:r>
      <w:r>
        <w:rPr>
          <w:rFonts w:cstheme="minorHAnsi"/>
          <w:sz w:val="28"/>
          <w:szCs w:val="28"/>
          <w:lang w:val="ru-RU"/>
        </w:rPr>
        <w:t xml:space="preserve"> которого</w:t>
      </w:r>
      <w:r w:rsidR="00024C16" w:rsidRPr="004244C3">
        <w:rPr>
          <w:rFonts w:cstheme="minorHAnsi"/>
          <w:sz w:val="28"/>
          <w:szCs w:val="28"/>
          <w:lang w:val="ru-RU"/>
        </w:rPr>
        <w:t xml:space="preserve"> осуществляется по факт</w:t>
      </w:r>
      <w:r>
        <w:rPr>
          <w:rFonts w:cstheme="minorHAnsi"/>
          <w:sz w:val="28"/>
          <w:szCs w:val="28"/>
          <w:lang w:val="ru-RU"/>
        </w:rPr>
        <w:t>ической стоимости приобретения</w:t>
      </w:r>
    </w:p>
    <w:p w:rsidR="00A7401A" w:rsidRDefault="00A7401A" w:rsidP="00A7401A">
      <w:pPr>
        <w:ind w:firstLine="709"/>
        <w:jc w:val="both"/>
        <w:rPr>
          <w:rFonts w:cstheme="minorHAnsi"/>
          <w:color w:val="000000"/>
          <w:sz w:val="28"/>
          <w:szCs w:val="28"/>
          <w:lang w:val="ru-RU"/>
        </w:rPr>
      </w:pPr>
      <w:r>
        <w:rPr>
          <w:rFonts w:cstheme="minorHAnsi"/>
          <w:sz w:val="28"/>
          <w:szCs w:val="28"/>
          <w:lang w:val="ru-RU"/>
        </w:rPr>
        <w:t>17</w:t>
      </w:r>
      <w:r>
        <w:rPr>
          <w:rFonts w:cstheme="minorHAnsi"/>
          <w:color w:val="000000"/>
          <w:sz w:val="28"/>
          <w:szCs w:val="28"/>
          <w:lang w:val="ru-RU"/>
        </w:rPr>
        <w:t xml:space="preserve">. </w:t>
      </w:r>
      <w:r w:rsidR="00024C16" w:rsidRPr="004244C3">
        <w:rPr>
          <w:rFonts w:cstheme="minorHAnsi"/>
          <w:color w:val="000000"/>
          <w:sz w:val="28"/>
          <w:szCs w:val="28"/>
          <w:lang w:val="ru-RU"/>
        </w:rPr>
        <w:t>Денежные средства на</w:t>
      </w:r>
      <w:r w:rsidR="00024C16" w:rsidRPr="004244C3">
        <w:rPr>
          <w:rFonts w:cstheme="minorHAnsi"/>
          <w:color w:val="000000"/>
          <w:sz w:val="28"/>
          <w:szCs w:val="28"/>
        </w:rPr>
        <w:t> </w:t>
      </w:r>
      <w:r w:rsidR="00024C16" w:rsidRPr="004244C3">
        <w:rPr>
          <w:rFonts w:cstheme="minorHAnsi"/>
          <w:color w:val="000000"/>
          <w:sz w:val="28"/>
          <w:szCs w:val="28"/>
          <w:lang w:val="ru-RU"/>
        </w:rPr>
        <w:t>закупку товаров, работ и</w:t>
      </w:r>
      <w:r w:rsidR="00024C16" w:rsidRPr="004244C3">
        <w:rPr>
          <w:rFonts w:cstheme="minorHAnsi"/>
          <w:color w:val="000000"/>
          <w:sz w:val="28"/>
          <w:szCs w:val="28"/>
        </w:rPr>
        <w:t> </w:t>
      </w:r>
      <w:r w:rsidR="00024C16" w:rsidRPr="004244C3">
        <w:rPr>
          <w:rFonts w:cstheme="minorHAnsi"/>
          <w:color w:val="000000"/>
          <w:sz w:val="28"/>
          <w:szCs w:val="28"/>
          <w:lang w:val="ru-RU"/>
        </w:rPr>
        <w:t>услуг, выдаются под отчет на основании Служебной записки</w:t>
      </w:r>
      <w:r w:rsidR="00024C16" w:rsidRPr="004244C3">
        <w:rPr>
          <w:rFonts w:cstheme="minorHAnsi"/>
          <w:iCs/>
          <w:color w:val="000000"/>
          <w:sz w:val="28"/>
          <w:szCs w:val="28"/>
          <w:lang w:val="ru-RU"/>
        </w:rPr>
        <w:t xml:space="preserve"> и </w:t>
      </w:r>
      <w:r w:rsidR="00024C16" w:rsidRPr="004244C3">
        <w:rPr>
          <w:rFonts w:cstheme="minorHAnsi"/>
          <w:color w:val="000000"/>
          <w:sz w:val="28"/>
          <w:szCs w:val="28"/>
          <w:lang w:val="ru-RU"/>
        </w:rPr>
        <w:t xml:space="preserve">Заявки-обоснования закупки товаров, работ, услуг малого объема </w:t>
      </w:r>
      <w:r w:rsidR="00024C16" w:rsidRPr="004244C3">
        <w:rPr>
          <w:rFonts w:cstheme="minorHAnsi"/>
          <w:color w:val="222222"/>
          <w:sz w:val="28"/>
          <w:szCs w:val="28"/>
          <w:shd w:val="clear" w:color="auto" w:fill="FFFFFF"/>
          <w:lang w:val="ru-RU"/>
        </w:rPr>
        <w:t>через подотчетное лицо</w:t>
      </w:r>
      <w:r w:rsidR="00024C16" w:rsidRPr="004244C3">
        <w:rPr>
          <w:rFonts w:cstheme="minorHAnsi"/>
          <w:color w:val="000000"/>
          <w:sz w:val="28"/>
          <w:szCs w:val="28"/>
          <w:lang w:val="ru-RU"/>
        </w:rPr>
        <w:t xml:space="preserve"> (ф.</w:t>
      </w:r>
      <w:r w:rsidR="00024C16" w:rsidRPr="004244C3">
        <w:rPr>
          <w:rFonts w:cstheme="minorHAnsi"/>
          <w:color w:val="000000"/>
          <w:sz w:val="28"/>
          <w:szCs w:val="28"/>
        </w:rPr>
        <w:t> </w:t>
      </w:r>
      <w:r w:rsidR="00024C16" w:rsidRPr="004244C3">
        <w:rPr>
          <w:rFonts w:cstheme="minorHAnsi"/>
          <w:color w:val="000000"/>
          <w:sz w:val="28"/>
          <w:szCs w:val="28"/>
          <w:lang w:val="ru-RU"/>
        </w:rPr>
        <w:t>0510521).</w:t>
      </w:r>
      <w:r w:rsidR="00024C16" w:rsidRPr="004244C3">
        <w:rPr>
          <w:rFonts w:cstheme="minorHAnsi"/>
          <w:color w:val="000000"/>
          <w:sz w:val="28"/>
          <w:szCs w:val="28"/>
        </w:rPr>
        <w:t> </w:t>
      </w:r>
    </w:p>
    <w:p w:rsidR="00A7401A" w:rsidRDefault="00A7401A" w:rsidP="00A7401A">
      <w:pPr>
        <w:ind w:firstLine="709"/>
        <w:jc w:val="both"/>
        <w:rPr>
          <w:rFonts w:cstheme="minorHAnsi"/>
          <w:color w:val="000000"/>
          <w:sz w:val="28"/>
          <w:szCs w:val="28"/>
          <w:lang w:val="ru-RU"/>
        </w:rPr>
      </w:pPr>
      <w:r>
        <w:rPr>
          <w:rFonts w:cstheme="minorHAnsi"/>
          <w:color w:val="000000"/>
          <w:sz w:val="28"/>
          <w:szCs w:val="28"/>
          <w:lang w:val="ru-RU"/>
        </w:rPr>
        <w:t>18.</w:t>
      </w:r>
      <w:r w:rsidR="003B1364" w:rsidRPr="004244C3">
        <w:rPr>
          <w:rFonts w:cstheme="minorHAnsi"/>
          <w:color w:val="000000"/>
          <w:sz w:val="28"/>
          <w:szCs w:val="28"/>
        </w:rPr>
        <w:t> </w:t>
      </w:r>
      <w:r w:rsidR="00024C16" w:rsidRPr="00A7401A">
        <w:rPr>
          <w:rFonts w:cstheme="minorHAnsi"/>
          <w:color w:val="000000"/>
          <w:sz w:val="28"/>
          <w:szCs w:val="28"/>
          <w:lang w:val="ru-RU"/>
        </w:rPr>
        <w:t>Деньги под отчет на</w:t>
      </w:r>
      <w:r w:rsidR="00024C16" w:rsidRPr="004244C3">
        <w:rPr>
          <w:rFonts w:cstheme="minorHAnsi"/>
          <w:color w:val="000000"/>
          <w:sz w:val="28"/>
          <w:szCs w:val="28"/>
        </w:rPr>
        <w:t> </w:t>
      </w:r>
      <w:r w:rsidR="00024C16" w:rsidRPr="00A7401A">
        <w:rPr>
          <w:rFonts w:cstheme="minorHAnsi"/>
          <w:color w:val="000000"/>
          <w:sz w:val="28"/>
          <w:szCs w:val="28"/>
          <w:lang w:val="ru-RU"/>
        </w:rPr>
        <w:t xml:space="preserve">закупку товаров, работ, услуг </w:t>
      </w:r>
      <w:r w:rsidRPr="00A7401A">
        <w:rPr>
          <w:rFonts w:cstheme="minorHAnsi"/>
          <w:color w:val="000000"/>
          <w:sz w:val="28"/>
          <w:szCs w:val="28"/>
          <w:lang w:val="ru-RU"/>
        </w:rPr>
        <w:t>выдаются штатным работникам на</w:t>
      </w:r>
      <w:r>
        <w:rPr>
          <w:rFonts w:cstheme="minorHAnsi"/>
          <w:color w:val="000000"/>
          <w:sz w:val="28"/>
          <w:szCs w:val="28"/>
        </w:rPr>
        <w:t> </w:t>
      </w:r>
      <w:r w:rsidRPr="00A7401A">
        <w:rPr>
          <w:rFonts w:cstheme="minorHAnsi"/>
          <w:color w:val="000000"/>
          <w:sz w:val="28"/>
          <w:szCs w:val="28"/>
          <w:lang w:val="ru-RU"/>
        </w:rPr>
        <w:t xml:space="preserve">30 календарных </w:t>
      </w:r>
      <w:r w:rsidR="00024C16" w:rsidRPr="00A7401A">
        <w:rPr>
          <w:rFonts w:cstheme="minorHAnsi"/>
          <w:color w:val="000000"/>
          <w:sz w:val="28"/>
          <w:szCs w:val="28"/>
          <w:lang w:val="ru-RU"/>
        </w:rPr>
        <w:t xml:space="preserve">дней. Перечень лиц, имеющих право на получение денежных средств </w:t>
      </w:r>
      <w:r w:rsidR="00024C16" w:rsidRPr="00A7401A">
        <w:rPr>
          <w:rFonts w:cstheme="minorHAnsi"/>
          <w:sz w:val="28"/>
          <w:szCs w:val="28"/>
          <w:lang w:val="ru-RU"/>
        </w:rPr>
        <w:t xml:space="preserve">и денежных документов </w:t>
      </w:r>
      <w:r w:rsidR="00024C16" w:rsidRPr="00A7401A">
        <w:rPr>
          <w:rFonts w:cstheme="minorHAnsi"/>
          <w:color w:val="000000"/>
          <w:sz w:val="28"/>
          <w:szCs w:val="28"/>
          <w:lang w:val="ru-RU"/>
        </w:rPr>
        <w:t>под отчет, утверждаются приказами Начальника Управления и приказами председателей судов.</w:t>
      </w:r>
    </w:p>
    <w:p w:rsidR="00ED529B" w:rsidRDefault="00A7401A" w:rsidP="00ED529B">
      <w:pPr>
        <w:ind w:firstLine="709"/>
        <w:jc w:val="both"/>
        <w:rPr>
          <w:rFonts w:cstheme="minorHAnsi"/>
          <w:color w:val="000000"/>
          <w:sz w:val="28"/>
          <w:szCs w:val="28"/>
          <w:lang w:val="ru-RU"/>
        </w:rPr>
      </w:pPr>
      <w:r>
        <w:rPr>
          <w:rFonts w:cstheme="minorHAnsi"/>
          <w:color w:val="000000"/>
          <w:sz w:val="28"/>
          <w:szCs w:val="28"/>
          <w:lang w:val="ru-RU"/>
        </w:rPr>
        <w:t>19</w:t>
      </w:r>
      <w:r w:rsidR="003B1364" w:rsidRPr="004244C3">
        <w:rPr>
          <w:rFonts w:cstheme="minorHAnsi"/>
          <w:color w:val="000000"/>
          <w:sz w:val="28"/>
          <w:szCs w:val="28"/>
          <w:lang w:val="ru-RU"/>
        </w:rPr>
        <w:t>. Доходы от предоставления права пользования активом (арендная плата) признаются доходами текущего финансового года с одновременным уменьшением предстоящих доходов равномерно (ежемесячно) на протяжении срока пользования объектом учета аренды.</w:t>
      </w:r>
    </w:p>
    <w:p w:rsidR="00ED529B" w:rsidRDefault="00A7401A" w:rsidP="00ED529B">
      <w:pPr>
        <w:ind w:firstLine="709"/>
        <w:jc w:val="both"/>
        <w:rPr>
          <w:rFonts w:cstheme="minorHAnsi"/>
          <w:color w:val="000000"/>
          <w:sz w:val="28"/>
          <w:szCs w:val="28"/>
          <w:lang w:val="ru-RU"/>
        </w:rPr>
      </w:pPr>
      <w:r w:rsidRPr="00ED529B">
        <w:rPr>
          <w:rFonts w:cstheme="minorHAnsi"/>
          <w:color w:val="000000"/>
          <w:sz w:val="28"/>
          <w:szCs w:val="28"/>
          <w:lang w:val="ru-RU"/>
        </w:rPr>
        <w:t>20.</w:t>
      </w:r>
      <w:r w:rsidR="00ED529B" w:rsidRPr="00ED529B">
        <w:rPr>
          <w:sz w:val="28"/>
          <w:szCs w:val="28"/>
          <w:lang w:val="ru-RU"/>
        </w:rPr>
        <w:t xml:space="preserve"> В Управлении создается резерв предстоящих расходов по выплатам персоналу на счете КБК 1</w:t>
      </w:r>
      <w:r w:rsidR="00ED529B" w:rsidRPr="00ED529B">
        <w:rPr>
          <w:sz w:val="28"/>
          <w:szCs w:val="28"/>
        </w:rPr>
        <w:t> </w:t>
      </w:r>
      <w:r w:rsidR="00ED529B" w:rsidRPr="00ED529B">
        <w:rPr>
          <w:sz w:val="28"/>
          <w:szCs w:val="28"/>
          <w:lang w:val="ru-RU"/>
        </w:rPr>
        <w:t>401 60 000 «Резервы предстоящих расходов». Списание расходов производится ежемесячно в размере, соответствующему отработанному работником периоду, дающему право на предоставление отпуска. Порядок расчета резерва приведен в Приложении № 11</w:t>
      </w:r>
      <w:r w:rsidR="00ED529B">
        <w:rPr>
          <w:sz w:val="28"/>
          <w:szCs w:val="28"/>
          <w:lang w:val="ru-RU"/>
        </w:rPr>
        <w:t>.</w:t>
      </w:r>
    </w:p>
    <w:p w:rsidR="00ED529B" w:rsidRDefault="00ED529B" w:rsidP="00ED529B">
      <w:pPr>
        <w:ind w:firstLine="709"/>
        <w:jc w:val="both"/>
        <w:rPr>
          <w:rFonts w:cstheme="minorHAnsi"/>
          <w:color w:val="000000"/>
          <w:sz w:val="28"/>
          <w:szCs w:val="28"/>
          <w:lang w:val="ru-RU"/>
        </w:rPr>
      </w:pPr>
      <w:r w:rsidRPr="00ED529B">
        <w:rPr>
          <w:sz w:val="28"/>
          <w:szCs w:val="28"/>
          <w:lang w:val="ru-RU"/>
        </w:rPr>
        <w:lastRenderedPageBreak/>
        <w:t xml:space="preserve">Резерв создается на выплату: </w:t>
      </w:r>
    </w:p>
    <w:p w:rsidR="00ED529B" w:rsidRPr="00ED529B" w:rsidRDefault="00ED529B" w:rsidP="00ED529B">
      <w:pPr>
        <w:ind w:firstLine="709"/>
        <w:jc w:val="both"/>
        <w:rPr>
          <w:rFonts w:cstheme="minorHAnsi"/>
          <w:color w:val="000000"/>
          <w:sz w:val="28"/>
          <w:szCs w:val="28"/>
          <w:lang w:val="ru-RU"/>
        </w:rPr>
      </w:pPr>
      <w:r w:rsidRPr="00ED529B">
        <w:rPr>
          <w:sz w:val="28"/>
          <w:szCs w:val="28"/>
          <w:lang w:val="ru-RU"/>
        </w:rPr>
        <w:t>- ежемесячного пожизненного содержания;</w:t>
      </w:r>
    </w:p>
    <w:p w:rsidR="00ED529B" w:rsidRPr="00ED529B" w:rsidRDefault="00ED529B" w:rsidP="00ED529B">
      <w:pPr>
        <w:tabs>
          <w:tab w:val="left" w:pos="916"/>
          <w:tab w:val="left" w:pos="1832"/>
          <w:tab w:val="left" w:pos="3119"/>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ru-RU"/>
        </w:rPr>
      </w:pPr>
      <w:r w:rsidRPr="00ED529B">
        <w:rPr>
          <w:sz w:val="28"/>
          <w:szCs w:val="28"/>
          <w:lang w:val="ru-RU"/>
        </w:rPr>
        <w:t>- ежемесячного возмещения в связи с гибелью (смертью) судьи, в том числе пребывающего в отставке, нетрудоспособным членам семьи судьи, находившимся на его иждивении;</w:t>
      </w:r>
    </w:p>
    <w:p w:rsidR="00ED529B" w:rsidRPr="00ED529B" w:rsidRDefault="00ED529B" w:rsidP="00ED529B">
      <w:pPr>
        <w:tabs>
          <w:tab w:val="left" w:pos="916"/>
          <w:tab w:val="left" w:pos="1832"/>
          <w:tab w:val="left" w:pos="3119"/>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ru-RU"/>
        </w:rPr>
      </w:pPr>
      <w:r w:rsidRPr="00ED529B">
        <w:rPr>
          <w:sz w:val="28"/>
          <w:szCs w:val="28"/>
          <w:lang w:val="ru-RU"/>
        </w:rPr>
        <w:t>- ежемесячной надбавки к ежемесячному денежному вознаграждению в размере 50% ежемесячного пожизненного содержания.</w:t>
      </w:r>
    </w:p>
    <w:p w:rsidR="00ED529B" w:rsidRPr="00ED529B" w:rsidRDefault="00ED529B" w:rsidP="00ED529B">
      <w:pPr>
        <w:tabs>
          <w:tab w:val="left" w:pos="916"/>
          <w:tab w:val="left" w:pos="1832"/>
          <w:tab w:val="left" w:pos="3119"/>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ru-RU"/>
        </w:rPr>
      </w:pPr>
      <w:r w:rsidRPr="00ED529B">
        <w:rPr>
          <w:sz w:val="28"/>
          <w:szCs w:val="28"/>
          <w:lang w:val="ru-RU"/>
        </w:rPr>
        <w:t>Резерв создается в сумме лимитов бюджетных обязательств, доведенных на указанные выплаты на очередной финансовый год и плановый период.</w:t>
      </w:r>
    </w:p>
    <w:p w:rsidR="00ED529B" w:rsidRDefault="00ED529B" w:rsidP="00ED529B">
      <w:pPr>
        <w:tabs>
          <w:tab w:val="left" w:pos="916"/>
          <w:tab w:val="left" w:pos="1832"/>
          <w:tab w:val="left" w:pos="3119"/>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ru-RU"/>
        </w:rPr>
      </w:pPr>
      <w:r w:rsidRPr="00ED529B">
        <w:rPr>
          <w:sz w:val="28"/>
          <w:szCs w:val="28"/>
          <w:lang w:val="ru-RU"/>
        </w:rPr>
        <w:t>Списание резерва производится ежемесячно, в сумме фактически начисленных выплат.</w:t>
      </w:r>
    </w:p>
    <w:p w:rsidR="00ED529B" w:rsidRDefault="00ED529B" w:rsidP="00ED529B">
      <w:pPr>
        <w:tabs>
          <w:tab w:val="left" w:pos="916"/>
          <w:tab w:val="left" w:pos="1832"/>
          <w:tab w:val="left" w:pos="3119"/>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ru-RU"/>
        </w:rPr>
      </w:pPr>
      <w:r w:rsidRPr="00ED529B">
        <w:rPr>
          <w:color w:val="000000"/>
          <w:sz w:val="28"/>
          <w:szCs w:val="28"/>
          <w:shd w:val="clear" w:color="auto" w:fill="FFFFFF"/>
          <w:lang w:val="ru-RU"/>
        </w:rPr>
        <w:t>Резерв по сомнительной задолженности отражается на</w:t>
      </w:r>
      <w:r w:rsidRPr="00ED529B">
        <w:rPr>
          <w:color w:val="000000"/>
          <w:sz w:val="28"/>
          <w:szCs w:val="28"/>
          <w:shd w:val="clear" w:color="auto" w:fill="FFFFFF"/>
        </w:rPr>
        <w:t> </w:t>
      </w:r>
      <w:hyperlink r:id="rId7" w:anchor="/document/99/902249301/XA00MA22MU/" w:tooltip="Счет 04 Сомнительная задолженность" w:history="1">
        <w:proofErr w:type="spellStart"/>
        <w:r w:rsidRPr="00ED529B">
          <w:rPr>
            <w:rStyle w:val="a8"/>
            <w:color w:val="000000"/>
            <w:sz w:val="28"/>
            <w:szCs w:val="28"/>
            <w:u w:val="none"/>
            <w:lang w:val="ru-RU"/>
          </w:rPr>
          <w:t>забалансовом</w:t>
        </w:r>
        <w:proofErr w:type="spellEnd"/>
        <w:r w:rsidRPr="00ED529B">
          <w:rPr>
            <w:rStyle w:val="a8"/>
            <w:color w:val="000000"/>
            <w:sz w:val="28"/>
            <w:szCs w:val="28"/>
            <w:u w:val="none"/>
            <w:lang w:val="ru-RU"/>
          </w:rPr>
          <w:t xml:space="preserve"> счете 04</w:t>
        </w:r>
      </w:hyperlink>
      <w:r w:rsidRPr="00ED529B">
        <w:rPr>
          <w:color w:val="000000"/>
          <w:sz w:val="28"/>
          <w:szCs w:val="28"/>
          <w:shd w:val="clear" w:color="auto" w:fill="FFFFFF"/>
        </w:rPr>
        <w:t> </w:t>
      </w:r>
      <w:r w:rsidRPr="00ED529B">
        <w:rPr>
          <w:color w:val="000000"/>
          <w:sz w:val="28"/>
          <w:szCs w:val="28"/>
          <w:shd w:val="clear" w:color="auto" w:fill="FFFFFF"/>
          <w:lang w:val="ru-RU"/>
        </w:rPr>
        <w:t xml:space="preserve">«Сомнительная задолженность» и равен сумме числящейся на нем дебиторской задолженности. </w:t>
      </w:r>
    </w:p>
    <w:p w:rsidR="00ED529B" w:rsidRPr="00ED529B" w:rsidRDefault="00ED529B" w:rsidP="00ED529B">
      <w:pPr>
        <w:tabs>
          <w:tab w:val="left" w:pos="916"/>
          <w:tab w:val="left" w:pos="1832"/>
          <w:tab w:val="left" w:pos="3119"/>
          <w:tab w:val="left" w:pos="3664"/>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firstLine="709"/>
        <w:jc w:val="both"/>
        <w:rPr>
          <w:sz w:val="28"/>
          <w:szCs w:val="28"/>
          <w:lang w:val="ru-RU"/>
        </w:rPr>
      </w:pPr>
      <w:r w:rsidRPr="00ED529B">
        <w:rPr>
          <w:sz w:val="28"/>
          <w:szCs w:val="28"/>
          <w:lang w:val="ru-RU"/>
        </w:rPr>
        <w:t xml:space="preserve"> Резерв по обязательствам, возникающим при поступлении товаров, работ, услуг, закупка которых осуществляется через ЕИС в сфере закупок, создается, если фактическая приемка осуществляется ранее размещения (подписания) в ЕИС документа о приемке поставленного товара (переданного результата работ, оказанной услуги).</w:t>
      </w:r>
    </w:p>
    <w:p w:rsidR="00ED529B" w:rsidRPr="00ED529B" w:rsidRDefault="00ED529B" w:rsidP="00ED529B">
      <w:pPr>
        <w:spacing w:before="0" w:beforeAutospacing="0" w:after="0" w:afterAutospacing="0"/>
        <w:ind w:firstLine="709"/>
        <w:jc w:val="both"/>
        <w:rPr>
          <w:sz w:val="28"/>
          <w:szCs w:val="28"/>
          <w:lang w:val="ru-RU"/>
        </w:rPr>
      </w:pPr>
      <w:r w:rsidRPr="00ED529B">
        <w:rPr>
          <w:sz w:val="28"/>
          <w:szCs w:val="28"/>
          <w:lang w:val="ru-RU"/>
        </w:rPr>
        <w:t>Датой признания резерва в бухгалтерском учете является дата фактической поставки товара (выполнения работ, оказания услуг).</w:t>
      </w:r>
    </w:p>
    <w:p w:rsidR="00ED529B" w:rsidRPr="00ED529B" w:rsidRDefault="00ED529B" w:rsidP="00ED529B">
      <w:pPr>
        <w:spacing w:before="0" w:beforeAutospacing="0" w:after="0" w:afterAutospacing="0"/>
        <w:ind w:firstLine="709"/>
        <w:jc w:val="both"/>
        <w:rPr>
          <w:sz w:val="28"/>
          <w:szCs w:val="28"/>
          <w:lang w:val="ru-RU"/>
        </w:rPr>
      </w:pPr>
      <w:r w:rsidRPr="00ED529B">
        <w:rPr>
          <w:sz w:val="28"/>
          <w:szCs w:val="28"/>
          <w:lang w:val="ru-RU"/>
        </w:rPr>
        <w:t>Резерв отражается по кредиту соответствующих счетов аналитического учета счета 0 401 60 000 «Резервы предстоящих расходов» с одновременным отражением суммы отложенного обязательства на соответствующем счете аналитического учета счета 0 502 99 000 «Отложенные обязательства» на основании полученных от контрагента первичных документов (накладных, актов, УПД).</w:t>
      </w:r>
    </w:p>
    <w:p w:rsidR="00ED529B" w:rsidRPr="00ED529B" w:rsidRDefault="00ED529B" w:rsidP="00ED529B">
      <w:pPr>
        <w:spacing w:before="0" w:beforeAutospacing="0" w:after="0" w:afterAutospacing="0"/>
        <w:ind w:firstLine="709"/>
        <w:jc w:val="both"/>
        <w:rPr>
          <w:sz w:val="28"/>
          <w:szCs w:val="28"/>
          <w:lang w:val="ru-RU"/>
        </w:rPr>
      </w:pPr>
      <w:r w:rsidRPr="00ED529B">
        <w:rPr>
          <w:sz w:val="28"/>
          <w:szCs w:val="28"/>
          <w:lang w:val="ru-RU"/>
        </w:rPr>
        <w:t>Резерв списывается при признании затрат и (или) при признании кредиторской задолженности по выполнению обязательства, по которому резерв был создан.</w:t>
      </w:r>
    </w:p>
    <w:p w:rsidR="00A7401A" w:rsidRPr="00ED529B" w:rsidRDefault="00ED529B" w:rsidP="00ED529B">
      <w:pPr>
        <w:spacing w:before="0" w:beforeAutospacing="0" w:after="0" w:afterAutospacing="0"/>
        <w:ind w:firstLine="709"/>
        <w:jc w:val="both"/>
        <w:rPr>
          <w:sz w:val="28"/>
          <w:szCs w:val="28"/>
          <w:lang w:val="ru-RU"/>
        </w:rPr>
      </w:pPr>
      <w:r w:rsidRPr="00ED529B">
        <w:rPr>
          <w:sz w:val="28"/>
          <w:szCs w:val="28"/>
          <w:lang w:val="ru-RU"/>
        </w:rPr>
        <w:t xml:space="preserve">Уточнение ранее сформированного резерва </w:t>
      </w:r>
      <w:proofErr w:type="gramStart"/>
      <w:r w:rsidRPr="00ED529B">
        <w:rPr>
          <w:sz w:val="28"/>
          <w:szCs w:val="28"/>
          <w:lang w:val="ru-RU"/>
        </w:rPr>
        <w:t>отражается на дату</w:t>
      </w:r>
      <w:proofErr w:type="gramEnd"/>
      <w:r w:rsidRPr="00ED529B">
        <w:rPr>
          <w:sz w:val="28"/>
          <w:szCs w:val="28"/>
          <w:lang w:val="ru-RU"/>
        </w:rPr>
        <w:t xml:space="preserve"> его расчета дополнительной бухгалтерской записью (увеличение резерва). В случае избыточности суммы признанного резерва или в случае прекращения выполнения условий признания резерва, неиспользованная сумма резерва списывается с отнесением на уменьшение расходов (финансового результата) текущего периода (уменьшение ре</w:t>
      </w:r>
      <w:r>
        <w:rPr>
          <w:sz w:val="28"/>
          <w:szCs w:val="28"/>
          <w:lang w:val="ru-RU"/>
        </w:rPr>
        <w:t>зерва).</w:t>
      </w:r>
    </w:p>
    <w:p w:rsidR="00ED529B" w:rsidRDefault="00A7401A" w:rsidP="00ED529B">
      <w:pPr>
        <w:ind w:firstLine="709"/>
        <w:jc w:val="both"/>
        <w:rPr>
          <w:rFonts w:cstheme="minorHAnsi"/>
          <w:color w:val="000000"/>
          <w:sz w:val="28"/>
          <w:szCs w:val="28"/>
          <w:lang w:val="ru-RU"/>
        </w:rPr>
      </w:pPr>
      <w:r>
        <w:rPr>
          <w:rFonts w:cstheme="minorHAnsi"/>
          <w:color w:val="000000"/>
          <w:sz w:val="28"/>
          <w:szCs w:val="28"/>
          <w:lang w:val="ru-RU"/>
        </w:rPr>
        <w:t>21</w:t>
      </w:r>
      <w:r w:rsidR="003B1364" w:rsidRPr="004244C3">
        <w:rPr>
          <w:rFonts w:cstheme="minorHAnsi"/>
          <w:color w:val="000000"/>
          <w:sz w:val="28"/>
          <w:szCs w:val="28"/>
          <w:lang w:val="ru-RU"/>
        </w:rPr>
        <w:t xml:space="preserve">. </w:t>
      </w:r>
      <w:r w:rsidR="0046708F" w:rsidRPr="004244C3">
        <w:rPr>
          <w:rFonts w:cstheme="minorHAnsi"/>
          <w:sz w:val="28"/>
          <w:szCs w:val="28"/>
          <w:lang w:val="ru-RU"/>
        </w:rPr>
        <w:t xml:space="preserve">Бюджетная отчетность формируется и хранится в виде электронного документа в информационной системе ««Учет бюджетных средств» подсистемы «Финансы» Государственной автоматизированной системы Российской Федерации «Правосудие» модуль «Сводный учет и </w:t>
      </w:r>
      <w:r w:rsidR="0046708F" w:rsidRPr="004244C3">
        <w:rPr>
          <w:rFonts w:cstheme="minorHAnsi"/>
          <w:sz w:val="28"/>
          <w:szCs w:val="28"/>
          <w:lang w:val="ru-RU"/>
        </w:rPr>
        <w:lastRenderedPageBreak/>
        <w:t xml:space="preserve">отчетность»». </w:t>
      </w:r>
      <w:r w:rsidR="003B1364" w:rsidRPr="004244C3">
        <w:rPr>
          <w:rFonts w:cstheme="minorHAnsi"/>
          <w:color w:val="000000"/>
          <w:sz w:val="28"/>
          <w:szCs w:val="28"/>
          <w:lang w:val="ru-RU"/>
        </w:rPr>
        <w:t>Бумажная копия комплекта отчетности хранится у</w:t>
      </w:r>
      <w:r w:rsidR="005E12EA" w:rsidRPr="004244C3">
        <w:rPr>
          <w:rFonts w:cstheme="minorHAnsi"/>
          <w:color w:val="000000"/>
          <w:sz w:val="28"/>
          <w:szCs w:val="28"/>
          <w:lang w:val="ru-RU"/>
        </w:rPr>
        <w:t xml:space="preserve"> заместителя начальника Управления -</w:t>
      </w:r>
      <w:r w:rsidR="003B1364" w:rsidRPr="004244C3">
        <w:rPr>
          <w:rFonts w:cstheme="minorHAnsi"/>
          <w:color w:val="000000"/>
          <w:sz w:val="28"/>
          <w:szCs w:val="28"/>
          <w:lang w:val="ru-RU"/>
        </w:rPr>
        <w:t xml:space="preserve"> главного бухгалтера.</w:t>
      </w:r>
    </w:p>
    <w:p w:rsidR="004F570E" w:rsidRPr="004244C3" w:rsidRDefault="003B1364" w:rsidP="00ED529B">
      <w:pPr>
        <w:ind w:firstLine="709"/>
        <w:jc w:val="both"/>
        <w:rPr>
          <w:rFonts w:cstheme="minorHAnsi"/>
          <w:color w:val="000000"/>
          <w:sz w:val="28"/>
          <w:szCs w:val="28"/>
          <w:lang w:val="ru-RU"/>
        </w:rPr>
      </w:pPr>
      <w:r w:rsidRPr="004244C3">
        <w:rPr>
          <w:rFonts w:cstheme="minorHAnsi"/>
          <w:b/>
          <w:bCs/>
          <w:color w:val="000000"/>
          <w:sz w:val="28"/>
          <w:szCs w:val="28"/>
          <w:lang w:val="ru-RU"/>
        </w:rPr>
        <w:t>Отдельными</w:t>
      </w:r>
      <w:r w:rsidRPr="004244C3">
        <w:rPr>
          <w:rFonts w:cstheme="minorHAnsi"/>
          <w:b/>
          <w:bCs/>
          <w:color w:val="000000"/>
          <w:sz w:val="28"/>
          <w:szCs w:val="28"/>
        </w:rPr>
        <w:t> </w:t>
      </w:r>
      <w:r w:rsidRPr="004244C3">
        <w:rPr>
          <w:rFonts w:cstheme="minorHAnsi"/>
          <w:b/>
          <w:bCs/>
          <w:color w:val="000000"/>
          <w:sz w:val="28"/>
          <w:szCs w:val="28"/>
          <w:lang w:val="ru-RU"/>
        </w:rPr>
        <w:t>приложениями</w:t>
      </w:r>
      <w:r w:rsidRPr="004244C3">
        <w:rPr>
          <w:rFonts w:cstheme="minorHAnsi"/>
          <w:b/>
          <w:bCs/>
          <w:color w:val="000000"/>
          <w:sz w:val="28"/>
          <w:szCs w:val="28"/>
        </w:rPr>
        <w:t> </w:t>
      </w:r>
      <w:r w:rsidRPr="004244C3">
        <w:rPr>
          <w:rFonts w:cstheme="minorHAnsi"/>
          <w:b/>
          <w:bCs/>
          <w:color w:val="000000"/>
          <w:sz w:val="28"/>
          <w:szCs w:val="28"/>
          <w:lang w:val="ru-RU"/>
        </w:rPr>
        <w:t>к</w:t>
      </w:r>
      <w:r w:rsidRPr="004244C3">
        <w:rPr>
          <w:rFonts w:cstheme="minorHAnsi"/>
          <w:b/>
          <w:bCs/>
          <w:color w:val="000000"/>
          <w:sz w:val="28"/>
          <w:szCs w:val="28"/>
        </w:rPr>
        <w:t> </w:t>
      </w:r>
      <w:r w:rsidR="0046708F" w:rsidRPr="004244C3">
        <w:rPr>
          <w:rFonts w:cstheme="minorHAnsi"/>
          <w:b/>
          <w:bCs/>
          <w:color w:val="000000"/>
          <w:sz w:val="28"/>
          <w:szCs w:val="28"/>
          <w:lang w:val="ru-RU"/>
        </w:rPr>
        <w:t>У</w:t>
      </w:r>
      <w:r w:rsidRPr="004244C3">
        <w:rPr>
          <w:rFonts w:cstheme="minorHAnsi"/>
          <w:b/>
          <w:bCs/>
          <w:color w:val="000000"/>
          <w:sz w:val="28"/>
          <w:szCs w:val="28"/>
          <w:lang w:val="ru-RU"/>
        </w:rPr>
        <w:t>четной</w:t>
      </w:r>
      <w:r w:rsidRPr="004244C3">
        <w:rPr>
          <w:rFonts w:cstheme="minorHAnsi"/>
          <w:b/>
          <w:bCs/>
          <w:color w:val="000000"/>
          <w:sz w:val="28"/>
          <w:szCs w:val="28"/>
        </w:rPr>
        <w:t> </w:t>
      </w:r>
      <w:r w:rsidRPr="004244C3">
        <w:rPr>
          <w:rFonts w:cstheme="minorHAnsi"/>
          <w:b/>
          <w:bCs/>
          <w:color w:val="000000"/>
          <w:sz w:val="28"/>
          <w:szCs w:val="28"/>
          <w:lang w:val="ru-RU"/>
        </w:rPr>
        <w:t>политике</w:t>
      </w:r>
      <w:r w:rsidRPr="004244C3">
        <w:rPr>
          <w:rFonts w:cstheme="minorHAnsi"/>
          <w:b/>
          <w:bCs/>
          <w:color w:val="000000"/>
          <w:sz w:val="28"/>
          <w:szCs w:val="28"/>
        </w:rPr>
        <w:t> </w:t>
      </w:r>
      <w:proofErr w:type="gramStart"/>
      <w:r w:rsidRPr="004244C3">
        <w:rPr>
          <w:rFonts w:cstheme="minorHAnsi"/>
          <w:b/>
          <w:bCs/>
          <w:color w:val="000000"/>
          <w:sz w:val="28"/>
          <w:szCs w:val="28"/>
          <w:lang w:val="ru-RU"/>
        </w:rPr>
        <w:t>оформлены</w:t>
      </w:r>
      <w:proofErr w:type="gramEnd"/>
      <w:r w:rsidRPr="004244C3">
        <w:rPr>
          <w:rFonts w:cstheme="minorHAnsi"/>
          <w:b/>
          <w:bCs/>
          <w:color w:val="000000"/>
          <w:sz w:val="28"/>
          <w:szCs w:val="28"/>
          <w:lang w:val="ru-RU"/>
        </w:rPr>
        <w:t>:</w:t>
      </w:r>
    </w:p>
    <w:p w:rsidR="00F7542D" w:rsidRPr="004244C3" w:rsidRDefault="00F7542D" w:rsidP="00ED529B">
      <w:pPr>
        <w:pStyle w:val="ConsPlusTitle"/>
        <w:widowControl/>
        <w:numPr>
          <w:ilvl w:val="0"/>
          <w:numId w:val="11"/>
        </w:numPr>
        <w:tabs>
          <w:tab w:val="clear" w:pos="720"/>
          <w:tab w:val="num" w:pos="426"/>
        </w:tabs>
        <w:ind w:left="0" w:firstLine="425"/>
        <w:jc w:val="both"/>
        <w:rPr>
          <w:rFonts w:asciiTheme="minorHAnsi" w:hAnsiTheme="minorHAnsi" w:cstheme="minorHAnsi"/>
          <w:b w:val="0"/>
          <w:sz w:val="28"/>
          <w:szCs w:val="28"/>
        </w:rPr>
      </w:pPr>
      <w:r w:rsidRPr="004244C3">
        <w:rPr>
          <w:rFonts w:asciiTheme="minorHAnsi" w:hAnsiTheme="minorHAnsi" w:cstheme="minorHAnsi"/>
          <w:b w:val="0"/>
          <w:sz w:val="28"/>
          <w:szCs w:val="28"/>
        </w:rPr>
        <w:t>Приложение №</w:t>
      </w:r>
      <w:r w:rsidR="006B33F7">
        <w:rPr>
          <w:rFonts w:asciiTheme="minorHAnsi" w:hAnsiTheme="minorHAnsi" w:cstheme="minorHAnsi"/>
          <w:b w:val="0"/>
          <w:sz w:val="28"/>
          <w:szCs w:val="28"/>
        </w:rPr>
        <w:t xml:space="preserve"> </w:t>
      </w:r>
      <w:r w:rsidRPr="004244C3">
        <w:rPr>
          <w:rFonts w:asciiTheme="minorHAnsi" w:hAnsiTheme="minorHAnsi" w:cstheme="minorHAnsi"/>
          <w:b w:val="0"/>
          <w:sz w:val="28"/>
          <w:szCs w:val="28"/>
        </w:rPr>
        <w:t>1 «Положение о постоянно действующей комиссии по поступлению и выбытию активов».</w:t>
      </w:r>
    </w:p>
    <w:p w:rsidR="006B33F7" w:rsidRDefault="00F7542D" w:rsidP="00ED529B">
      <w:pPr>
        <w:pStyle w:val="ConsPlusTitle"/>
        <w:widowControl/>
        <w:numPr>
          <w:ilvl w:val="0"/>
          <w:numId w:val="11"/>
        </w:numPr>
        <w:tabs>
          <w:tab w:val="clear" w:pos="720"/>
          <w:tab w:val="num" w:pos="426"/>
        </w:tabs>
        <w:ind w:left="0" w:firstLine="425"/>
        <w:jc w:val="both"/>
        <w:rPr>
          <w:rFonts w:asciiTheme="minorHAnsi" w:hAnsiTheme="minorHAnsi" w:cstheme="minorHAnsi"/>
          <w:b w:val="0"/>
          <w:sz w:val="28"/>
          <w:szCs w:val="28"/>
        </w:rPr>
      </w:pPr>
      <w:r w:rsidRPr="006B33F7">
        <w:rPr>
          <w:rFonts w:asciiTheme="minorHAnsi" w:hAnsiTheme="minorHAnsi" w:cstheme="minorHAnsi"/>
          <w:b w:val="0"/>
          <w:sz w:val="28"/>
          <w:szCs w:val="28"/>
        </w:rPr>
        <w:t>Приложение №</w:t>
      </w:r>
      <w:r w:rsidR="006B33F7">
        <w:rPr>
          <w:rFonts w:asciiTheme="minorHAnsi" w:hAnsiTheme="minorHAnsi" w:cstheme="minorHAnsi"/>
          <w:b w:val="0"/>
          <w:sz w:val="28"/>
          <w:szCs w:val="28"/>
        </w:rPr>
        <w:t xml:space="preserve"> </w:t>
      </w:r>
      <w:r w:rsidRPr="006B33F7">
        <w:rPr>
          <w:rFonts w:asciiTheme="minorHAnsi" w:hAnsiTheme="minorHAnsi" w:cstheme="minorHAnsi"/>
          <w:b w:val="0"/>
          <w:sz w:val="28"/>
          <w:szCs w:val="28"/>
        </w:rPr>
        <w:t>2 «</w:t>
      </w:r>
      <w:r w:rsidR="006B33F7" w:rsidRPr="006B33F7">
        <w:rPr>
          <w:rFonts w:asciiTheme="minorHAnsi" w:hAnsiTheme="minorHAnsi" w:cstheme="minorHAnsi"/>
          <w:b w:val="0"/>
          <w:sz w:val="28"/>
          <w:szCs w:val="28"/>
        </w:rPr>
        <w:t xml:space="preserve">Рабочий план счетов». </w:t>
      </w:r>
    </w:p>
    <w:p w:rsidR="006B33F7" w:rsidRDefault="00F7542D" w:rsidP="006B33F7">
      <w:pPr>
        <w:pStyle w:val="ConsPlusTitle"/>
        <w:widowControl/>
        <w:numPr>
          <w:ilvl w:val="0"/>
          <w:numId w:val="11"/>
        </w:numPr>
        <w:tabs>
          <w:tab w:val="clear" w:pos="720"/>
          <w:tab w:val="num" w:pos="426"/>
        </w:tabs>
        <w:ind w:left="0" w:firstLine="425"/>
        <w:jc w:val="both"/>
        <w:rPr>
          <w:rFonts w:asciiTheme="minorHAnsi" w:hAnsiTheme="minorHAnsi" w:cstheme="minorHAnsi"/>
          <w:b w:val="0"/>
          <w:sz w:val="28"/>
          <w:szCs w:val="28"/>
        </w:rPr>
      </w:pPr>
      <w:r w:rsidRPr="006B33F7">
        <w:rPr>
          <w:rFonts w:asciiTheme="minorHAnsi" w:hAnsiTheme="minorHAnsi" w:cstheme="minorHAnsi"/>
          <w:b w:val="0"/>
          <w:sz w:val="28"/>
          <w:szCs w:val="28"/>
        </w:rPr>
        <w:t>Приложение №</w:t>
      </w:r>
      <w:r w:rsidR="006B33F7">
        <w:rPr>
          <w:rFonts w:asciiTheme="minorHAnsi" w:hAnsiTheme="minorHAnsi" w:cstheme="minorHAnsi"/>
          <w:b w:val="0"/>
          <w:sz w:val="28"/>
          <w:szCs w:val="28"/>
        </w:rPr>
        <w:t xml:space="preserve"> </w:t>
      </w:r>
      <w:r w:rsidRPr="006B33F7">
        <w:rPr>
          <w:rFonts w:asciiTheme="minorHAnsi" w:hAnsiTheme="minorHAnsi" w:cstheme="minorHAnsi"/>
          <w:b w:val="0"/>
          <w:sz w:val="28"/>
          <w:szCs w:val="28"/>
        </w:rPr>
        <w:t>3 «</w:t>
      </w:r>
      <w:r w:rsidR="006B33F7" w:rsidRPr="006B33F7">
        <w:rPr>
          <w:rFonts w:asciiTheme="minorHAnsi" w:hAnsiTheme="minorHAnsi" w:cstheme="minorHAnsi"/>
          <w:b w:val="0"/>
          <w:sz w:val="28"/>
          <w:szCs w:val="28"/>
        </w:rPr>
        <w:t>Номера журналов операций»</w:t>
      </w:r>
    </w:p>
    <w:p w:rsidR="00F7542D" w:rsidRPr="006B33F7" w:rsidRDefault="00F7542D" w:rsidP="006B33F7">
      <w:pPr>
        <w:pStyle w:val="ConsPlusTitle"/>
        <w:widowControl/>
        <w:numPr>
          <w:ilvl w:val="0"/>
          <w:numId w:val="11"/>
        </w:numPr>
        <w:tabs>
          <w:tab w:val="clear" w:pos="720"/>
          <w:tab w:val="num" w:pos="426"/>
        </w:tabs>
        <w:ind w:left="0" w:firstLine="425"/>
        <w:jc w:val="both"/>
        <w:rPr>
          <w:rFonts w:asciiTheme="minorHAnsi" w:hAnsiTheme="minorHAnsi" w:cstheme="minorHAnsi"/>
          <w:b w:val="0"/>
          <w:sz w:val="28"/>
          <w:szCs w:val="28"/>
        </w:rPr>
      </w:pPr>
      <w:r w:rsidRPr="006B33F7">
        <w:rPr>
          <w:rFonts w:asciiTheme="minorHAnsi" w:hAnsiTheme="minorHAnsi" w:cstheme="minorHAnsi"/>
          <w:b w:val="0"/>
          <w:sz w:val="28"/>
          <w:szCs w:val="28"/>
        </w:rPr>
        <w:t>Приложение №</w:t>
      </w:r>
      <w:r w:rsidR="006B33F7">
        <w:rPr>
          <w:rFonts w:asciiTheme="minorHAnsi" w:hAnsiTheme="minorHAnsi" w:cstheme="minorHAnsi"/>
          <w:b w:val="0"/>
          <w:sz w:val="28"/>
          <w:szCs w:val="28"/>
        </w:rPr>
        <w:t xml:space="preserve"> </w:t>
      </w:r>
      <w:r w:rsidRPr="006B33F7">
        <w:rPr>
          <w:rFonts w:asciiTheme="minorHAnsi" w:hAnsiTheme="minorHAnsi" w:cstheme="minorHAnsi"/>
          <w:b w:val="0"/>
          <w:sz w:val="28"/>
          <w:szCs w:val="28"/>
        </w:rPr>
        <w:t>4 «</w:t>
      </w:r>
      <w:r w:rsidR="006B33F7" w:rsidRPr="006B33F7">
        <w:rPr>
          <w:rFonts w:asciiTheme="minorHAnsi" w:hAnsiTheme="minorHAnsi" w:cstheme="minorHAnsi"/>
          <w:b w:val="0"/>
          <w:sz w:val="28"/>
          <w:szCs w:val="28"/>
        </w:rPr>
        <w:t>Положение об инвентаризации и инвентаризационной комиссии</w:t>
      </w:r>
      <w:r w:rsidRPr="006B33F7">
        <w:rPr>
          <w:rFonts w:asciiTheme="minorHAnsi" w:hAnsiTheme="minorHAnsi" w:cstheme="minorHAnsi"/>
          <w:b w:val="0"/>
          <w:sz w:val="28"/>
          <w:szCs w:val="28"/>
        </w:rPr>
        <w:t>».</w:t>
      </w:r>
    </w:p>
    <w:p w:rsidR="006B33F7" w:rsidRDefault="00F7542D" w:rsidP="00ED529B">
      <w:pPr>
        <w:pStyle w:val="ConsPlusTitle"/>
        <w:widowControl/>
        <w:numPr>
          <w:ilvl w:val="0"/>
          <w:numId w:val="11"/>
        </w:numPr>
        <w:tabs>
          <w:tab w:val="clear" w:pos="720"/>
          <w:tab w:val="num" w:pos="426"/>
        </w:tabs>
        <w:ind w:left="0" w:firstLine="425"/>
        <w:jc w:val="both"/>
        <w:rPr>
          <w:rFonts w:asciiTheme="minorHAnsi" w:hAnsiTheme="minorHAnsi" w:cstheme="minorHAnsi"/>
          <w:b w:val="0"/>
          <w:sz w:val="28"/>
          <w:szCs w:val="28"/>
        </w:rPr>
      </w:pPr>
      <w:r w:rsidRPr="004244C3">
        <w:rPr>
          <w:rFonts w:asciiTheme="minorHAnsi" w:hAnsiTheme="minorHAnsi" w:cstheme="minorHAnsi"/>
          <w:b w:val="0"/>
          <w:sz w:val="28"/>
          <w:szCs w:val="28"/>
        </w:rPr>
        <w:t>Приложение №</w:t>
      </w:r>
      <w:r w:rsidR="006B33F7">
        <w:rPr>
          <w:rFonts w:asciiTheme="minorHAnsi" w:hAnsiTheme="minorHAnsi" w:cstheme="minorHAnsi"/>
          <w:b w:val="0"/>
          <w:sz w:val="28"/>
          <w:szCs w:val="28"/>
        </w:rPr>
        <w:t xml:space="preserve"> </w:t>
      </w:r>
      <w:r w:rsidRPr="004244C3">
        <w:rPr>
          <w:rFonts w:asciiTheme="minorHAnsi" w:hAnsiTheme="minorHAnsi" w:cstheme="minorHAnsi"/>
          <w:b w:val="0"/>
          <w:sz w:val="28"/>
          <w:szCs w:val="28"/>
        </w:rPr>
        <w:t>5 «</w:t>
      </w:r>
      <w:r w:rsidR="006B33F7" w:rsidRPr="004244C3">
        <w:rPr>
          <w:rFonts w:asciiTheme="minorHAnsi" w:hAnsiTheme="minorHAnsi" w:cstheme="minorHAnsi"/>
          <w:b w:val="0"/>
          <w:color w:val="222222"/>
          <w:sz w:val="28"/>
          <w:szCs w:val="28"/>
          <w:shd w:val="clear" w:color="auto" w:fill="FFFFFF"/>
        </w:rPr>
        <w:t>График документооборота</w:t>
      </w:r>
      <w:r w:rsidR="006B33F7">
        <w:rPr>
          <w:rFonts w:asciiTheme="minorHAnsi" w:hAnsiTheme="minorHAnsi" w:cstheme="minorHAnsi"/>
          <w:b w:val="0"/>
          <w:sz w:val="28"/>
          <w:szCs w:val="28"/>
        </w:rPr>
        <w:t>».</w:t>
      </w:r>
    </w:p>
    <w:p w:rsidR="006B33F7" w:rsidRDefault="006B33F7" w:rsidP="00ED529B">
      <w:pPr>
        <w:pStyle w:val="ConsPlusTitle"/>
        <w:widowControl/>
        <w:numPr>
          <w:ilvl w:val="0"/>
          <w:numId w:val="11"/>
        </w:numPr>
        <w:tabs>
          <w:tab w:val="clear" w:pos="720"/>
          <w:tab w:val="num" w:pos="426"/>
        </w:tabs>
        <w:ind w:left="0" w:firstLine="425"/>
        <w:jc w:val="both"/>
        <w:rPr>
          <w:rFonts w:asciiTheme="minorHAnsi" w:hAnsiTheme="minorHAnsi" w:cstheme="minorHAnsi"/>
          <w:b w:val="0"/>
          <w:sz w:val="28"/>
          <w:szCs w:val="28"/>
        </w:rPr>
      </w:pPr>
      <w:r>
        <w:rPr>
          <w:rFonts w:asciiTheme="minorHAnsi" w:hAnsiTheme="minorHAnsi" w:cstheme="minorHAnsi"/>
          <w:b w:val="0"/>
          <w:sz w:val="28"/>
          <w:szCs w:val="28"/>
        </w:rPr>
        <w:t>Приложение № 6 «</w:t>
      </w:r>
      <w:r w:rsidRPr="004244C3">
        <w:rPr>
          <w:rFonts w:asciiTheme="minorHAnsi" w:hAnsiTheme="minorHAnsi" w:cstheme="minorHAnsi"/>
          <w:b w:val="0"/>
          <w:sz w:val="28"/>
          <w:szCs w:val="28"/>
        </w:rPr>
        <w:t>Порядок принятия обязательств</w:t>
      </w:r>
      <w:r>
        <w:rPr>
          <w:rFonts w:asciiTheme="minorHAnsi" w:hAnsiTheme="minorHAnsi" w:cstheme="minorHAnsi"/>
          <w:b w:val="0"/>
          <w:sz w:val="28"/>
          <w:szCs w:val="28"/>
        </w:rPr>
        <w:t>».</w:t>
      </w:r>
    </w:p>
    <w:p w:rsidR="00F7542D" w:rsidRDefault="00F7542D" w:rsidP="00ED529B">
      <w:pPr>
        <w:pStyle w:val="ConsPlusTitle"/>
        <w:widowControl/>
        <w:numPr>
          <w:ilvl w:val="0"/>
          <w:numId w:val="11"/>
        </w:numPr>
        <w:tabs>
          <w:tab w:val="clear" w:pos="720"/>
          <w:tab w:val="num" w:pos="426"/>
        </w:tabs>
        <w:ind w:left="0" w:firstLine="425"/>
        <w:jc w:val="both"/>
        <w:rPr>
          <w:rFonts w:asciiTheme="minorHAnsi" w:hAnsiTheme="minorHAnsi" w:cstheme="minorHAnsi"/>
          <w:b w:val="0"/>
          <w:sz w:val="28"/>
          <w:szCs w:val="28"/>
        </w:rPr>
      </w:pPr>
      <w:r w:rsidRPr="004244C3">
        <w:rPr>
          <w:rFonts w:asciiTheme="minorHAnsi" w:hAnsiTheme="minorHAnsi" w:cstheme="minorHAnsi"/>
          <w:b w:val="0"/>
          <w:sz w:val="28"/>
          <w:szCs w:val="28"/>
        </w:rPr>
        <w:t xml:space="preserve">Положение </w:t>
      </w:r>
      <w:r w:rsidR="006B33F7">
        <w:rPr>
          <w:rFonts w:asciiTheme="minorHAnsi" w:hAnsiTheme="minorHAnsi" w:cstheme="minorHAnsi"/>
          <w:b w:val="0"/>
          <w:sz w:val="28"/>
          <w:szCs w:val="28"/>
        </w:rPr>
        <w:t>№ 7 «Положение о</w:t>
      </w:r>
      <w:r w:rsidRPr="004244C3">
        <w:rPr>
          <w:rFonts w:asciiTheme="minorHAnsi" w:hAnsiTheme="minorHAnsi" w:cstheme="minorHAnsi"/>
          <w:b w:val="0"/>
          <w:sz w:val="28"/>
          <w:szCs w:val="28"/>
        </w:rPr>
        <w:t xml:space="preserve"> внутреннем контроле».</w:t>
      </w:r>
    </w:p>
    <w:p w:rsidR="006B33F7" w:rsidRPr="004244C3" w:rsidRDefault="006B33F7" w:rsidP="00ED529B">
      <w:pPr>
        <w:pStyle w:val="ConsPlusTitle"/>
        <w:widowControl/>
        <w:numPr>
          <w:ilvl w:val="0"/>
          <w:numId w:val="11"/>
        </w:numPr>
        <w:tabs>
          <w:tab w:val="clear" w:pos="720"/>
          <w:tab w:val="num" w:pos="426"/>
        </w:tabs>
        <w:ind w:left="0" w:firstLine="425"/>
        <w:jc w:val="both"/>
        <w:rPr>
          <w:rFonts w:asciiTheme="minorHAnsi" w:hAnsiTheme="minorHAnsi" w:cstheme="minorHAnsi"/>
          <w:b w:val="0"/>
          <w:sz w:val="28"/>
          <w:szCs w:val="28"/>
        </w:rPr>
      </w:pPr>
      <w:r>
        <w:rPr>
          <w:rFonts w:asciiTheme="minorHAnsi" w:hAnsiTheme="minorHAnsi" w:cstheme="minorHAnsi"/>
          <w:b w:val="0"/>
          <w:sz w:val="28"/>
          <w:szCs w:val="28"/>
        </w:rPr>
        <w:t>Приложение № 8 «</w:t>
      </w:r>
      <w:r w:rsidRPr="004244C3">
        <w:rPr>
          <w:rStyle w:val="a7"/>
          <w:rFonts w:asciiTheme="minorHAnsi" w:eastAsiaTheme="majorEastAsia" w:hAnsiTheme="minorHAnsi" w:cstheme="minorHAnsi"/>
          <w:color w:val="222222"/>
          <w:sz w:val="28"/>
          <w:szCs w:val="28"/>
          <w:shd w:val="clear" w:color="auto" w:fill="FFFFFF"/>
        </w:rPr>
        <w:t>Порядок признания в бухгалтерском учете и раскрытия в бухгалтерской (финансовой) отчетности событий после отчетной даты</w:t>
      </w:r>
      <w:r>
        <w:rPr>
          <w:rStyle w:val="a7"/>
          <w:rFonts w:asciiTheme="minorHAnsi" w:eastAsiaTheme="majorEastAsia" w:hAnsiTheme="minorHAnsi" w:cstheme="minorHAnsi"/>
          <w:color w:val="222222"/>
          <w:sz w:val="28"/>
          <w:szCs w:val="28"/>
          <w:shd w:val="clear" w:color="auto" w:fill="FFFFFF"/>
        </w:rPr>
        <w:t>».</w:t>
      </w:r>
    </w:p>
    <w:p w:rsidR="006B33F7" w:rsidRDefault="006B33F7" w:rsidP="006B33F7">
      <w:pPr>
        <w:pStyle w:val="ConsPlusTitle"/>
        <w:widowControl/>
        <w:numPr>
          <w:ilvl w:val="0"/>
          <w:numId w:val="11"/>
        </w:numPr>
        <w:tabs>
          <w:tab w:val="clear" w:pos="720"/>
          <w:tab w:val="num" w:pos="426"/>
        </w:tabs>
        <w:ind w:left="0" w:firstLine="425"/>
        <w:jc w:val="both"/>
        <w:rPr>
          <w:rFonts w:asciiTheme="minorHAnsi" w:hAnsiTheme="minorHAnsi" w:cstheme="minorHAnsi"/>
          <w:b w:val="0"/>
          <w:sz w:val="28"/>
          <w:szCs w:val="28"/>
        </w:rPr>
      </w:pPr>
      <w:r>
        <w:rPr>
          <w:rFonts w:asciiTheme="minorHAnsi" w:hAnsiTheme="minorHAnsi" w:cstheme="minorHAnsi"/>
          <w:b w:val="0"/>
          <w:sz w:val="28"/>
          <w:szCs w:val="28"/>
        </w:rPr>
        <w:t>Приложение № 9 «</w:t>
      </w:r>
      <w:r w:rsidRPr="006B33F7">
        <w:rPr>
          <w:rFonts w:asciiTheme="minorHAnsi" w:hAnsiTheme="minorHAnsi" w:cstheme="minorHAnsi"/>
          <w:b w:val="0"/>
          <w:sz w:val="28"/>
          <w:szCs w:val="28"/>
        </w:rPr>
        <w:t>Положение о приз</w:t>
      </w:r>
      <w:r>
        <w:rPr>
          <w:rFonts w:asciiTheme="minorHAnsi" w:hAnsiTheme="minorHAnsi" w:cstheme="minorHAnsi"/>
          <w:b w:val="0"/>
          <w:sz w:val="28"/>
          <w:szCs w:val="28"/>
        </w:rPr>
        <w:t>нании дебиторской задолженности</w:t>
      </w:r>
      <w:r w:rsidRPr="006B33F7">
        <w:rPr>
          <w:rFonts w:asciiTheme="minorHAnsi" w:hAnsiTheme="minorHAnsi" w:cstheme="minorHAnsi"/>
          <w:b w:val="0"/>
          <w:sz w:val="28"/>
          <w:szCs w:val="28"/>
        </w:rPr>
        <w:t xml:space="preserve"> безнадежной к взысканию</w:t>
      </w:r>
      <w:r>
        <w:rPr>
          <w:rFonts w:asciiTheme="minorHAnsi" w:hAnsiTheme="minorHAnsi" w:cstheme="minorHAnsi"/>
          <w:b w:val="0"/>
          <w:sz w:val="28"/>
          <w:szCs w:val="28"/>
        </w:rPr>
        <w:t>».</w:t>
      </w:r>
    </w:p>
    <w:p w:rsidR="006B33F7" w:rsidRPr="006B33F7" w:rsidRDefault="006B33F7" w:rsidP="006B33F7">
      <w:pPr>
        <w:pStyle w:val="ConsPlusTitle"/>
        <w:widowControl/>
        <w:numPr>
          <w:ilvl w:val="0"/>
          <w:numId w:val="11"/>
        </w:numPr>
        <w:tabs>
          <w:tab w:val="clear" w:pos="720"/>
          <w:tab w:val="num" w:pos="426"/>
        </w:tabs>
        <w:ind w:left="0" w:firstLine="425"/>
        <w:jc w:val="both"/>
        <w:rPr>
          <w:rFonts w:asciiTheme="minorHAnsi" w:hAnsiTheme="minorHAnsi" w:cstheme="minorHAnsi"/>
          <w:b w:val="0"/>
          <w:sz w:val="28"/>
          <w:szCs w:val="28"/>
        </w:rPr>
      </w:pPr>
      <w:r>
        <w:rPr>
          <w:rFonts w:asciiTheme="minorHAnsi" w:hAnsiTheme="minorHAnsi" w:cstheme="minorHAnsi"/>
          <w:b w:val="0"/>
          <w:sz w:val="28"/>
          <w:szCs w:val="28"/>
        </w:rPr>
        <w:t xml:space="preserve">Приложение № </w:t>
      </w:r>
      <w:r w:rsidRPr="006B33F7">
        <w:rPr>
          <w:rFonts w:asciiTheme="minorHAnsi" w:hAnsiTheme="minorHAnsi" w:cstheme="minorHAnsi"/>
          <w:b w:val="0"/>
          <w:sz w:val="28"/>
          <w:szCs w:val="28"/>
        </w:rPr>
        <w:t>10</w:t>
      </w:r>
      <w:r>
        <w:rPr>
          <w:rFonts w:asciiTheme="minorHAnsi" w:hAnsiTheme="minorHAnsi" w:cstheme="minorHAnsi"/>
          <w:b w:val="0"/>
          <w:sz w:val="28"/>
          <w:szCs w:val="28"/>
        </w:rPr>
        <w:t xml:space="preserve"> </w:t>
      </w:r>
      <w:r w:rsidRPr="006B33F7">
        <w:rPr>
          <w:rFonts w:asciiTheme="minorHAnsi" w:hAnsiTheme="minorHAnsi" w:cstheme="minorHAnsi"/>
          <w:b w:val="0"/>
          <w:sz w:val="28"/>
          <w:szCs w:val="28"/>
        </w:rPr>
        <w:t>«</w:t>
      </w:r>
      <w:r w:rsidRPr="006B33F7">
        <w:rPr>
          <w:rFonts w:asciiTheme="minorHAnsi" w:hAnsiTheme="minorHAnsi" w:cstheme="minorHAnsi"/>
          <w:b w:val="0"/>
          <w:bCs w:val="0"/>
          <w:sz w:val="28"/>
          <w:szCs w:val="28"/>
        </w:rPr>
        <w:t>Учетная поли</w:t>
      </w:r>
      <w:r>
        <w:rPr>
          <w:rFonts w:asciiTheme="minorHAnsi" w:hAnsiTheme="minorHAnsi" w:cstheme="minorHAnsi"/>
          <w:b w:val="0"/>
          <w:bCs w:val="0"/>
          <w:sz w:val="28"/>
          <w:szCs w:val="28"/>
        </w:rPr>
        <w:t>тика для целей налогообложения».</w:t>
      </w:r>
    </w:p>
    <w:p w:rsidR="000B2A5B" w:rsidRDefault="006B33F7" w:rsidP="000B2A5B">
      <w:pPr>
        <w:pStyle w:val="ConsPlusTitle"/>
        <w:widowControl/>
        <w:numPr>
          <w:ilvl w:val="0"/>
          <w:numId w:val="11"/>
        </w:numPr>
        <w:tabs>
          <w:tab w:val="clear" w:pos="720"/>
          <w:tab w:val="num" w:pos="426"/>
        </w:tabs>
        <w:ind w:left="0" w:firstLine="425"/>
        <w:jc w:val="both"/>
        <w:rPr>
          <w:rFonts w:asciiTheme="minorHAnsi" w:hAnsiTheme="minorHAnsi" w:cstheme="minorHAnsi"/>
          <w:b w:val="0"/>
          <w:sz w:val="28"/>
          <w:szCs w:val="28"/>
        </w:rPr>
      </w:pPr>
      <w:r>
        <w:rPr>
          <w:rFonts w:asciiTheme="minorHAnsi" w:hAnsiTheme="minorHAnsi" w:cstheme="minorHAnsi"/>
          <w:b w:val="0"/>
          <w:bCs w:val="0"/>
          <w:sz w:val="28"/>
          <w:szCs w:val="28"/>
        </w:rPr>
        <w:t>Приложение № 11</w:t>
      </w:r>
      <w:r w:rsidR="00F7542D" w:rsidRPr="006B33F7">
        <w:rPr>
          <w:rFonts w:asciiTheme="minorHAnsi" w:hAnsiTheme="minorHAnsi" w:cstheme="minorHAnsi"/>
          <w:b w:val="0"/>
          <w:sz w:val="28"/>
          <w:szCs w:val="28"/>
        </w:rPr>
        <w:t xml:space="preserve"> «</w:t>
      </w:r>
      <w:r>
        <w:rPr>
          <w:rFonts w:asciiTheme="minorHAnsi" w:hAnsiTheme="minorHAnsi" w:cstheme="minorHAnsi"/>
          <w:b w:val="0"/>
          <w:sz w:val="28"/>
          <w:szCs w:val="28"/>
        </w:rPr>
        <w:t>Порядок расчета резерва предстоящих расходов по выплатам персоналу».</w:t>
      </w:r>
    </w:p>
    <w:p w:rsidR="000B2A5B" w:rsidRPr="000B2A5B" w:rsidRDefault="006B33F7" w:rsidP="000B2A5B">
      <w:pPr>
        <w:pStyle w:val="ConsPlusTitle"/>
        <w:widowControl/>
        <w:numPr>
          <w:ilvl w:val="0"/>
          <w:numId w:val="11"/>
        </w:numPr>
        <w:tabs>
          <w:tab w:val="clear" w:pos="720"/>
          <w:tab w:val="num" w:pos="426"/>
        </w:tabs>
        <w:ind w:left="0" w:firstLine="425"/>
        <w:jc w:val="both"/>
        <w:rPr>
          <w:rFonts w:asciiTheme="minorHAnsi" w:hAnsiTheme="minorHAnsi" w:cstheme="minorHAnsi"/>
          <w:b w:val="0"/>
          <w:sz w:val="28"/>
          <w:szCs w:val="28"/>
        </w:rPr>
      </w:pPr>
      <w:r w:rsidRPr="000B2A5B">
        <w:rPr>
          <w:rFonts w:asciiTheme="minorHAnsi" w:hAnsiTheme="minorHAnsi" w:cstheme="minorHAnsi"/>
          <w:b w:val="0"/>
          <w:sz w:val="28"/>
          <w:szCs w:val="28"/>
        </w:rPr>
        <w:t>Приложение № 12 «</w:t>
      </w:r>
      <w:r w:rsidR="000B2A5B" w:rsidRPr="000B2A5B">
        <w:rPr>
          <w:b w:val="0"/>
          <w:sz w:val="27"/>
          <w:szCs w:val="27"/>
        </w:rPr>
        <w:t>Комиссия по проверке показаний одометров автотранспорта»</w:t>
      </w:r>
      <w:r w:rsidR="000B2A5B">
        <w:rPr>
          <w:b w:val="0"/>
          <w:sz w:val="27"/>
          <w:szCs w:val="27"/>
        </w:rPr>
        <w:t>.</w:t>
      </w:r>
    </w:p>
    <w:p w:rsidR="006B33F7" w:rsidRDefault="000B2A5B" w:rsidP="006B33F7">
      <w:pPr>
        <w:pStyle w:val="ConsPlusTitle"/>
        <w:widowControl/>
        <w:numPr>
          <w:ilvl w:val="0"/>
          <w:numId w:val="11"/>
        </w:numPr>
        <w:tabs>
          <w:tab w:val="clear" w:pos="720"/>
          <w:tab w:val="num" w:pos="426"/>
        </w:tabs>
        <w:ind w:left="0" w:firstLine="425"/>
        <w:jc w:val="both"/>
        <w:rPr>
          <w:rFonts w:asciiTheme="minorHAnsi" w:hAnsiTheme="minorHAnsi" w:cstheme="minorHAnsi"/>
          <w:b w:val="0"/>
          <w:sz w:val="28"/>
          <w:szCs w:val="28"/>
        </w:rPr>
      </w:pPr>
      <w:r>
        <w:rPr>
          <w:rFonts w:asciiTheme="minorHAnsi" w:hAnsiTheme="minorHAnsi" w:cstheme="minorHAnsi"/>
          <w:b w:val="0"/>
          <w:sz w:val="28"/>
          <w:szCs w:val="28"/>
        </w:rPr>
        <w:t>Приложение № 13 «Образец описи имущества в кабинетах».</w:t>
      </w:r>
    </w:p>
    <w:p w:rsidR="000B2A5B" w:rsidRPr="000B2A5B" w:rsidRDefault="000B2A5B" w:rsidP="000B2A5B">
      <w:pPr>
        <w:pStyle w:val="ConsPlusTitle"/>
        <w:widowControl/>
        <w:numPr>
          <w:ilvl w:val="0"/>
          <w:numId w:val="11"/>
        </w:numPr>
        <w:tabs>
          <w:tab w:val="clear" w:pos="720"/>
          <w:tab w:val="num" w:pos="426"/>
        </w:tabs>
        <w:ind w:left="0" w:firstLine="425"/>
        <w:jc w:val="both"/>
        <w:rPr>
          <w:rFonts w:asciiTheme="minorHAnsi" w:hAnsiTheme="minorHAnsi" w:cstheme="minorHAnsi"/>
          <w:b w:val="0"/>
          <w:sz w:val="28"/>
          <w:szCs w:val="28"/>
        </w:rPr>
      </w:pPr>
      <w:r>
        <w:rPr>
          <w:rFonts w:asciiTheme="minorHAnsi" w:hAnsiTheme="minorHAnsi" w:cstheme="minorHAnsi"/>
          <w:b w:val="0"/>
          <w:color w:val="222222"/>
          <w:sz w:val="28"/>
          <w:szCs w:val="28"/>
          <w:shd w:val="clear" w:color="auto" w:fill="FFFFFF"/>
        </w:rPr>
        <w:t>Приложение № 14 «</w:t>
      </w:r>
      <w:r w:rsidRPr="004244C3">
        <w:rPr>
          <w:rFonts w:asciiTheme="minorHAnsi" w:hAnsiTheme="minorHAnsi" w:cstheme="minorHAnsi"/>
          <w:b w:val="0"/>
          <w:color w:val="222222"/>
          <w:sz w:val="28"/>
          <w:szCs w:val="28"/>
          <w:shd w:val="clear" w:color="auto" w:fill="FFFFFF"/>
        </w:rPr>
        <w:t>Перечень основных первичных учетных документов, прилагаемых к журналам операций</w:t>
      </w:r>
      <w:r>
        <w:rPr>
          <w:rFonts w:asciiTheme="minorHAnsi" w:hAnsiTheme="minorHAnsi" w:cstheme="minorHAnsi"/>
          <w:b w:val="0"/>
          <w:color w:val="222222"/>
          <w:sz w:val="28"/>
          <w:szCs w:val="28"/>
          <w:shd w:val="clear" w:color="auto" w:fill="FFFFFF"/>
        </w:rPr>
        <w:t>».</w:t>
      </w:r>
    </w:p>
    <w:p w:rsidR="000B2A5B" w:rsidRPr="000B2A5B" w:rsidRDefault="000B2A5B" w:rsidP="000B2A5B">
      <w:pPr>
        <w:pStyle w:val="ConsPlusTitle"/>
        <w:widowControl/>
        <w:numPr>
          <w:ilvl w:val="0"/>
          <w:numId w:val="11"/>
        </w:numPr>
        <w:tabs>
          <w:tab w:val="clear" w:pos="720"/>
          <w:tab w:val="num" w:pos="426"/>
        </w:tabs>
        <w:ind w:left="0" w:firstLine="425"/>
        <w:jc w:val="both"/>
        <w:rPr>
          <w:rFonts w:asciiTheme="minorHAnsi" w:hAnsiTheme="minorHAnsi" w:cstheme="minorHAnsi"/>
          <w:b w:val="0"/>
          <w:sz w:val="28"/>
          <w:szCs w:val="28"/>
        </w:rPr>
      </w:pPr>
      <w:r>
        <w:rPr>
          <w:rFonts w:asciiTheme="minorHAnsi" w:hAnsiTheme="minorHAnsi" w:cstheme="minorHAnsi"/>
          <w:b w:val="0"/>
          <w:color w:val="222222"/>
          <w:sz w:val="28"/>
          <w:szCs w:val="28"/>
          <w:shd w:val="clear" w:color="auto" w:fill="FFFFFF"/>
        </w:rPr>
        <w:t xml:space="preserve">Приложение № 15 </w:t>
      </w:r>
      <w:r w:rsidRPr="000B2A5B">
        <w:rPr>
          <w:rFonts w:asciiTheme="minorHAnsi" w:hAnsiTheme="minorHAnsi" w:cstheme="minorHAnsi"/>
          <w:b w:val="0"/>
          <w:color w:val="222222"/>
          <w:sz w:val="28"/>
          <w:szCs w:val="28"/>
          <w:shd w:val="clear" w:color="auto" w:fill="FFFFFF"/>
        </w:rPr>
        <w:t>«</w:t>
      </w:r>
      <w:r w:rsidRPr="000B2A5B">
        <w:rPr>
          <w:b w:val="0"/>
          <w:sz w:val="28"/>
          <w:szCs w:val="28"/>
        </w:rPr>
        <w:t>Перечень хозяйственного и производственного инвентаря»</w:t>
      </w:r>
      <w:r>
        <w:rPr>
          <w:b w:val="0"/>
          <w:sz w:val="28"/>
          <w:szCs w:val="28"/>
        </w:rPr>
        <w:t>.</w:t>
      </w:r>
      <w:bookmarkStart w:id="0" w:name="_GoBack"/>
      <w:bookmarkEnd w:id="0"/>
    </w:p>
    <w:sectPr w:rsidR="000B2A5B" w:rsidRPr="000B2A5B" w:rsidSect="00E16041">
      <w:pgSz w:w="11907" w:h="16839"/>
      <w:pgMar w:top="993"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D503A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A41068F"/>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7F9715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2BE7DFD"/>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53A554F"/>
    <w:multiLevelType w:val="multilevel"/>
    <w:tmpl w:val="E4A057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21B68C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35997091"/>
    <w:multiLevelType w:val="hybridMultilevel"/>
    <w:tmpl w:val="996A247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369C4711"/>
    <w:multiLevelType w:val="multilevel"/>
    <w:tmpl w:val="7D26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43C1133C"/>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B9C51AA"/>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54A5189E"/>
    <w:multiLevelType w:val="hybridMultilevel"/>
    <w:tmpl w:val="92F64F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5AB5ADE"/>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6E966F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72A2066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13"/>
  </w:num>
  <w:num w:numId="3">
    <w:abstractNumId w:val="9"/>
  </w:num>
  <w:num w:numId="4">
    <w:abstractNumId w:val="0"/>
  </w:num>
  <w:num w:numId="5">
    <w:abstractNumId w:val="12"/>
  </w:num>
  <w:num w:numId="6">
    <w:abstractNumId w:val="8"/>
  </w:num>
  <w:num w:numId="7">
    <w:abstractNumId w:val="2"/>
  </w:num>
  <w:num w:numId="8">
    <w:abstractNumId w:val="11"/>
  </w:num>
  <w:num w:numId="9">
    <w:abstractNumId w:val="3"/>
  </w:num>
  <w:num w:numId="10">
    <w:abstractNumId w:val="5"/>
  </w:num>
  <w:num w:numId="11">
    <w:abstractNumId w:val="7"/>
  </w:num>
  <w:num w:numId="12">
    <w:abstractNumId w:val="10"/>
  </w:num>
  <w:num w:numId="13">
    <w:abstractNumId w:val="4"/>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024C16"/>
    <w:rsid w:val="000B2A5B"/>
    <w:rsid w:val="00122F2D"/>
    <w:rsid w:val="002D33B1"/>
    <w:rsid w:val="002D3591"/>
    <w:rsid w:val="002E1748"/>
    <w:rsid w:val="003514A0"/>
    <w:rsid w:val="00382118"/>
    <w:rsid w:val="003B1364"/>
    <w:rsid w:val="004244C3"/>
    <w:rsid w:val="00446B90"/>
    <w:rsid w:val="0046708F"/>
    <w:rsid w:val="00480FEB"/>
    <w:rsid w:val="004F570E"/>
    <w:rsid w:val="004F7E17"/>
    <w:rsid w:val="0050725B"/>
    <w:rsid w:val="005511ED"/>
    <w:rsid w:val="005A05CE"/>
    <w:rsid w:val="005D4671"/>
    <w:rsid w:val="005E12EA"/>
    <w:rsid w:val="005F4E55"/>
    <w:rsid w:val="00626C4D"/>
    <w:rsid w:val="00632E88"/>
    <w:rsid w:val="00653AF6"/>
    <w:rsid w:val="006A5440"/>
    <w:rsid w:val="006B33F7"/>
    <w:rsid w:val="006B65C2"/>
    <w:rsid w:val="006D3F5E"/>
    <w:rsid w:val="00725B3B"/>
    <w:rsid w:val="008E3C4B"/>
    <w:rsid w:val="00996FB2"/>
    <w:rsid w:val="00A7401A"/>
    <w:rsid w:val="00A87942"/>
    <w:rsid w:val="00AC0626"/>
    <w:rsid w:val="00B73A5A"/>
    <w:rsid w:val="00BE3902"/>
    <w:rsid w:val="00BF53C8"/>
    <w:rsid w:val="00C11716"/>
    <w:rsid w:val="00DA5E1B"/>
    <w:rsid w:val="00DC5F0D"/>
    <w:rsid w:val="00E16041"/>
    <w:rsid w:val="00E32F66"/>
    <w:rsid w:val="00E438A1"/>
    <w:rsid w:val="00E71E23"/>
    <w:rsid w:val="00ED529B"/>
    <w:rsid w:val="00F01E19"/>
    <w:rsid w:val="00F7542D"/>
    <w:rsid w:val="00FC38BA"/>
    <w:rsid w:val="00FD2D1C"/>
    <w:rsid w:val="00FF73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AC0626"/>
    <w:pPr>
      <w:ind w:left="720"/>
      <w:contextualSpacing/>
    </w:pPr>
  </w:style>
  <w:style w:type="paragraph" w:styleId="a4">
    <w:name w:val="Normal (Web)"/>
    <w:basedOn w:val="a"/>
    <w:uiPriority w:val="99"/>
    <w:unhideWhenUsed/>
    <w:rsid w:val="008E3C4B"/>
    <w:rPr>
      <w:rFonts w:ascii="Arial" w:eastAsia="Times New Roman" w:hAnsi="Arial" w:cs="Arial"/>
      <w:sz w:val="20"/>
      <w:szCs w:val="20"/>
      <w:lang w:val="ru-RU" w:eastAsia="ru-RU"/>
    </w:rPr>
  </w:style>
  <w:style w:type="character" w:customStyle="1" w:styleId="fill">
    <w:name w:val="fill"/>
    <w:rsid w:val="008E3C4B"/>
    <w:rPr>
      <w:b/>
      <w:bCs/>
      <w:i/>
      <w:iCs/>
      <w:color w:val="FF0000"/>
    </w:rPr>
  </w:style>
  <w:style w:type="character" w:customStyle="1" w:styleId="sfwc">
    <w:name w:val="sfwc"/>
    <w:rsid w:val="00024C16"/>
  </w:style>
  <w:style w:type="paragraph" w:customStyle="1" w:styleId="ConsPlusTitle">
    <w:name w:val="ConsPlusTitle"/>
    <w:rsid w:val="00F7542D"/>
    <w:pPr>
      <w:widowControl w:val="0"/>
      <w:autoSpaceDE w:val="0"/>
      <w:autoSpaceDN w:val="0"/>
      <w:adjustRightInd w:val="0"/>
      <w:spacing w:before="0" w:beforeAutospacing="0" w:after="0" w:afterAutospacing="0"/>
    </w:pPr>
    <w:rPr>
      <w:rFonts w:ascii="Times New Roman" w:eastAsia="Times New Roman" w:hAnsi="Times New Roman" w:cs="Times New Roman"/>
      <w:b/>
      <w:bCs/>
      <w:sz w:val="24"/>
      <w:szCs w:val="24"/>
      <w:lang w:val="ru-RU" w:eastAsia="ru-RU"/>
    </w:rPr>
  </w:style>
  <w:style w:type="paragraph" w:styleId="a5">
    <w:name w:val="Balloon Text"/>
    <w:basedOn w:val="a"/>
    <w:link w:val="a6"/>
    <w:uiPriority w:val="99"/>
    <w:semiHidden/>
    <w:unhideWhenUsed/>
    <w:rsid w:val="00FC38BA"/>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FC38BA"/>
    <w:rPr>
      <w:rFonts w:ascii="Tahoma" w:hAnsi="Tahoma" w:cs="Tahoma"/>
      <w:sz w:val="16"/>
      <w:szCs w:val="16"/>
    </w:rPr>
  </w:style>
  <w:style w:type="character" w:styleId="a7">
    <w:name w:val="Strong"/>
    <w:uiPriority w:val="22"/>
    <w:qFormat/>
    <w:rsid w:val="00BE3902"/>
    <w:rPr>
      <w:b/>
      <w:bCs/>
    </w:rPr>
  </w:style>
  <w:style w:type="character" w:styleId="a8">
    <w:name w:val="Hyperlink"/>
    <w:uiPriority w:val="99"/>
    <w:unhideWhenUsed/>
    <w:rsid w:val="00A87942"/>
    <w:rPr>
      <w:color w:val="0000FF"/>
      <w:u w:val="single"/>
    </w:rPr>
  </w:style>
  <w:style w:type="paragraph" w:customStyle="1" w:styleId="ConsPlusNormal">
    <w:name w:val="ConsPlusNormal"/>
    <w:rsid w:val="006B33F7"/>
    <w:pPr>
      <w:autoSpaceDE w:val="0"/>
      <w:autoSpaceDN w:val="0"/>
      <w:adjustRightInd w:val="0"/>
      <w:spacing w:before="0" w:beforeAutospacing="0" w:after="0" w:afterAutospacing="0"/>
      <w:ind w:firstLine="720"/>
    </w:pPr>
    <w:rPr>
      <w:rFonts w:ascii="Arial" w:eastAsia="Times New Roman" w:hAnsi="Arial" w:cs="Arial"/>
      <w:sz w:val="20"/>
      <w:szCs w:val="20"/>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7E17"/>
  </w:style>
  <w:style w:type="paragraph" w:styleId="1">
    <w:name w:val="heading 1"/>
    <w:basedOn w:val="a"/>
    <w:next w:val="a"/>
    <w:link w:val="10"/>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73A5A"/>
    <w:rPr>
      <w:rFonts w:asciiTheme="majorHAnsi" w:eastAsiaTheme="majorEastAsia" w:hAnsiTheme="majorHAnsi" w:cstheme="majorBidi"/>
      <w:b/>
      <w:bCs/>
      <w:color w:val="365F91" w:themeColor="accent1" w:themeShade="BF"/>
      <w:sz w:val="28"/>
      <w:szCs w:val="28"/>
    </w:rPr>
  </w:style>
  <w:style w:type="paragraph" w:styleId="a3">
    <w:name w:val="List Paragraph"/>
    <w:basedOn w:val="a"/>
    <w:uiPriority w:val="34"/>
    <w:qFormat/>
    <w:rsid w:val="00AC0626"/>
    <w:pPr>
      <w:ind w:left="720"/>
      <w:contextualSpacing/>
    </w:pPr>
  </w:style>
  <w:style w:type="paragraph" w:styleId="a4">
    <w:name w:val="Normal (Web)"/>
    <w:basedOn w:val="a"/>
    <w:uiPriority w:val="99"/>
    <w:unhideWhenUsed/>
    <w:rsid w:val="008E3C4B"/>
    <w:rPr>
      <w:rFonts w:ascii="Arial" w:eastAsia="Times New Roman" w:hAnsi="Arial" w:cs="Arial"/>
      <w:sz w:val="20"/>
      <w:szCs w:val="20"/>
      <w:lang w:val="ru-RU" w:eastAsia="ru-RU"/>
    </w:rPr>
  </w:style>
  <w:style w:type="character" w:customStyle="1" w:styleId="fill">
    <w:name w:val="fill"/>
    <w:rsid w:val="008E3C4B"/>
    <w:rPr>
      <w:b/>
      <w:bCs/>
      <w:i/>
      <w:iCs/>
      <w:color w:val="FF0000"/>
    </w:rPr>
  </w:style>
  <w:style w:type="character" w:customStyle="1" w:styleId="sfwc">
    <w:name w:val="sfwc"/>
    <w:rsid w:val="00024C16"/>
  </w:style>
  <w:style w:type="paragraph" w:customStyle="1" w:styleId="ConsPlusTitle">
    <w:name w:val="ConsPlusTitle"/>
    <w:rsid w:val="00F7542D"/>
    <w:pPr>
      <w:widowControl w:val="0"/>
      <w:autoSpaceDE w:val="0"/>
      <w:autoSpaceDN w:val="0"/>
      <w:adjustRightInd w:val="0"/>
      <w:spacing w:before="0" w:beforeAutospacing="0" w:after="0" w:afterAutospacing="0"/>
    </w:pPr>
    <w:rPr>
      <w:rFonts w:ascii="Times New Roman" w:eastAsia="Times New Roman" w:hAnsi="Times New Roman" w:cs="Times New Roman"/>
      <w:b/>
      <w:bCs/>
      <w:sz w:val="24"/>
      <w:szCs w:val="24"/>
      <w:lang w:val="ru-RU" w:eastAsia="ru-RU"/>
    </w:rPr>
  </w:style>
  <w:style w:type="paragraph" w:styleId="a5">
    <w:name w:val="Balloon Text"/>
    <w:basedOn w:val="a"/>
    <w:link w:val="a6"/>
    <w:uiPriority w:val="99"/>
    <w:semiHidden/>
    <w:unhideWhenUsed/>
    <w:rsid w:val="00FC38BA"/>
    <w:pPr>
      <w:spacing w:before="0" w:after="0"/>
    </w:pPr>
    <w:rPr>
      <w:rFonts w:ascii="Tahoma" w:hAnsi="Tahoma" w:cs="Tahoma"/>
      <w:sz w:val="16"/>
      <w:szCs w:val="16"/>
    </w:rPr>
  </w:style>
  <w:style w:type="character" w:customStyle="1" w:styleId="a6">
    <w:name w:val="Текст выноски Знак"/>
    <w:basedOn w:val="a0"/>
    <w:link w:val="a5"/>
    <w:uiPriority w:val="99"/>
    <w:semiHidden/>
    <w:rsid w:val="00FC38BA"/>
    <w:rPr>
      <w:rFonts w:ascii="Tahoma" w:hAnsi="Tahoma" w:cs="Tahoma"/>
      <w:sz w:val="16"/>
      <w:szCs w:val="16"/>
    </w:rPr>
  </w:style>
  <w:style w:type="character" w:styleId="a7">
    <w:name w:val="Strong"/>
    <w:uiPriority w:val="22"/>
    <w:qFormat/>
    <w:rsid w:val="00BE3902"/>
    <w:rPr>
      <w:b/>
      <w:bCs/>
    </w:rPr>
  </w:style>
  <w:style w:type="character" w:styleId="a8">
    <w:name w:val="Hyperlink"/>
    <w:uiPriority w:val="99"/>
    <w:unhideWhenUsed/>
    <w:rsid w:val="00A87942"/>
    <w:rPr>
      <w:color w:val="0000FF"/>
      <w:u w:val="single"/>
    </w:rPr>
  </w:style>
  <w:style w:type="paragraph" w:customStyle="1" w:styleId="ConsPlusNormal">
    <w:name w:val="ConsPlusNormal"/>
    <w:rsid w:val="006B33F7"/>
    <w:pPr>
      <w:autoSpaceDE w:val="0"/>
      <w:autoSpaceDN w:val="0"/>
      <w:adjustRightInd w:val="0"/>
      <w:spacing w:before="0" w:beforeAutospacing="0" w:after="0" w:afterAutospacing="0"/>
      <w:ind w:firstLine="720"/>
    </w:pPr>
    <w:rPr>
      <w:rFonts w:ascii="Arial" w:eastAsia="Times New Roman" w:hAnsi="Arial" w:cs="Arial"/>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gosfinansy.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EAE791-51BD-4EE9-B8EF-731C515A4B6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6</Pages>
  <Words>1795</Words>
  <Characters>10234</Characters>
  <Application>Microsoft Office Word</Application>
  <DocSecurity>0</DocSecurity>
  <Lines>85</Lines>
  <Paragraphs>24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dc:description>Подготовлено экспертами Актион-МЦФЭР</dc:description>
  <cp:lastModifiedBy>Света</cp:lastModifiedBy>
  <cp:revision>5</cp:revision>
  <cp:lastPrinted>2025-03-14T14:28:00Z</cp:lastPrinted>
  <dcterms:created xsi:type="dcterms:W3CDTF">2025-03-14T14:14:00Z</dcterms:created>
  <dcterms:modified xsi:type="dcterms:W3CDTF">2025-03-14T14:29:00Z</dcterms:modified>
</cp:coreProperties>
</file>