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41" w:rsidRDefault="00FD2B41">
      <w:pPr>
        <w:pStyle w:val="ConsPlusTitlePage"/>
      </w:pPr>
      <w:r>
        <w:t xml:space="preserve">Документ предоставлен </w:t>
      </w:r>
      <w:hyperlink r:id="rId6">
        <w:r>
          <w:rPr>
            <w:color w:val="0000FF"/>
          </w:rPr>
          <w:t>КонсультантПлюс</w:t>
        </w:r>
      </w:hyperlink>
      <w:r>
        <w:br/>
      </w:r>
    </w:p>
    <w:p w:rsidR="00FD2B41" w:rsidRDefault="00FD2B41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D2B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41" w:rsidRDefault="00FD2B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41" w:rsidRDefault="00FD2B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2B41" w:rsidRDefault="00FD2B41">
            <w:pPr>
              <w:pStyle w:val="ConsPlusNormal"/>
              <w:jc w:val="right"/>
            </w:pPr>
            <w:r>
              <w:rPr>
                <w:color w:val="392C69"/>
              </w:rPr>
              <w:t xml:space="preserve">КонсультантПлюс | Готовое решение | </w:t>
            </w:r>
            <w:r>
              <w:rPr>
                <w:b/>
                <w:color w:val="392C69"/>
              </w:rPr>
              <w:t>Актуально на 23.01.2026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41" w:rsidRDefault="00FD2B41">
            <w:pPr>
              <w:pStyle w:val="ConsPlusNormal"/>
            </w:pPr>
          </w:p>
        </w:tc>
      </w:tr>
    </w:tbl>
    <w:p w:rsidR="00FD2B41" w:rsidRDefault="00FD2B41">
      <w:pPr>
        <w:pStyle w:val="ConsPlusNormal"/>
        <w:spacing w:before="480"/>
      </w:pPr>
      <w:r>
        <w:rPr>
          <w:b/>
          <w:sz w:val="38"/>
        </w:rPr>
        <w:t>Образец искового заявления в суд общей юрисдикции о взыскании неосновательного обогащения и процентов за пользование чужими денежными средствами</w:t>
      </w:r>
    </w:p>
    <w:p w:rsidR="00FD2B41" w:rsidRDefault="00FD2B41">
      <w:pPr>
        <w:pStyle w:val="ConsPlusNormal"/>
        <w:spacing w:before="220"/>
        <w:jc w:val="both"/>
      </w:pPr>
      <w:proofErr w:type="gramStart"/>
      <w:r>
        <w:t xml:space="preserve">Применимые нормы: </w:t>
      </w:r>
      <w:hyperlink r:id="rId7">
        <w:r>
          <w:rPr>
            <w:color w:val="0000FF"/>
          </w:rPr>
          <w:t>п. 1 ст. 395</w:t>
        </w:r>
      </w:hyperlink>
      <w:r>
        <w:t xml:space="preserve">, </w:t>
      </w:r>
      <w:hyperlink r:id="rId8">
        <w:r>
          <w:rPr>
            <w:color w:val="0000FF"/>
          </w:rPr>
          <w:t>п. 1 ст. 1102</w:t>
        </w:r>
      </w:hyperlink>
      <w:r>
        <w:t xml:space="preserve">, </w:t>
      </w:r>
      <w:hyperlink r:id="rId9">
        <w:r>
          <w:rPr>
            <w:color w:val="0000FF"/>
          </w:rPr>
          <w:t>п. 2 ст. 1107</w:t>
        </w:r>
      </w:hyperlink>
      <w:r>
        <w:t xml:space="preserve"> ГК РФ, </w:t>
      </w:r>
      <w:hyperlink r:id="rId10">
        <w:r>
          <w:rPr>
            <w:color w:val="0000FF"/>
          </w:rPr>
          <w:t>ст. 131</w:t>
        </w:r>
      </w:hyperlink>
      <w:r>
        <w:t xml:space="preserve"> ГПК РФ</w:t>
      </w:r>
      <w:proofErr w:type="gramEnd"/>
    </w:p>
    <w:p w:rsidR="00FD2B41" w:rsidRDefault="00FD2B41">
      <w:pPr>
        <w:pStyle w:val="ConsPlusNormal"/>
        <w:spacing w:before="220"/>
        <w:jc w:val="both"/>
      </w:pPr>
      <w:r>
        <w:t xml:space="preserve">Составьте исковое заявление в суд общей юрисдикции по правилам, установленным </w:t>
      </w:r>
      <w:hyperlink r:id="rId11">
        <w:r>
          <w:rPr>
            <w:color w:val="0000FF"/>
          </w:rPr>
          <w:t>ст. 131</w:t>
        </w:r>
      </w:hyperlink>
      <w:r>
        <w:t xml:space="preserve"> ГПК РФ. Приложите к нему необходимые документы (</w:t>
      </w:r>
      <w:hyperlink r:id="rId12">
        <w:r>
          <w:rPr>
            <w:color w:val="0000FF"/>
          </w:rPr>
          <w:t>ст. 132</w:t>
        </w:r>
      </w:hyperlink>
      <w:r>
        <w:t xml:space="preserve"> ГПК РФ). Если иск не будет соответствовать обязательным требованиям, суд оставит его без движения (</w:t>
      </w:r>
      <w:hyperlink r:id="rId13">
        <w:r>
          <w:rPr>
            <w:color w:val="0000FF"/>
          </w:rPr>
          <w:t>ч. 1 ст. 136</w:t>
        </w:r>
      </w:hyperlink>
      <w:r>
        <w:t xml:space="preserve"> ГПК РФ).</w:t>
      </w:r>
    </w:p>
    <w:p w:rsidR="00FD2B41" w:rsidRDefault="00FD2B41">
      <w:pPr>
        <w:pStyle w:val="ConsPlusNormal"/>
        <w:spacing w:before="220"/>
        <w:jc w:val="both"/>
      </w:pPr>
      <w:r>
        <w:t>Вы можете подать и</w:t>
      </w:r>
      <w:proofErr w:type="gramStart"/>
      <w:r>
        <w:t>ск с пр</w:t>
      </w:r>
      <w:proofErr w:type="gramEnd"/>
      <w:r>
        <w:t>иложениями в бумажной форме или при наличии технической возможности в суде - в электронном виде, например через Единый портал госуслуг (</w:t>
      </w:r>
      <w:hyperlink r:id="rId14">
        <w:r>
          <w:rPr>
            <w:color w:val="0000FF"/>
          </w:rPr>
          <w:t>ч. 1.1 ст. 3</w:t>
        </w:r>
      </w:hyperlink>
      <w:r>
        <w:t xml:space="preserve"> ГПК РФ, </w:t>
      </w:r>
      <w:hyperlink r:id="rId15">
        <w:r>
          <w:rPr>
            <w:color w:val="0000FF"/>
          </w:rPr>
          <w:t>п. 2 ст. 7</w:t>
        </w:r>
      </w:hyperlink>
      <w:r>
        <w:t xml:space="preserve"> Федерального закона от 30.12.2021 N 440-ФЗ).</w:t>
      </w:r>
    </w:p>
    <w:p w:rsidR="00FD2B41" w:rsidRDefault="00FD2B41">
      <w:pPr>
        <w:pStyle w:val="ConsPlusNormal"/>
        <w:spacing w:before="220"/>
        <w:jc w:val="both"/>
      </w:pPr>
      <w:r>
        <w:t>Учтите, что по общему правилу иск, поданный через портал госуслуг, информационную систему, определенную Верховным Судом РФ, Судебным департаментом при Верховном Суде РФ, может быть подписан простой электронной подписью в соответствии с законодательством и порядком, определяемым указанными органами. Иск, содержащий ходатайство о его обеспечении, а также иск, который подается через системы электронного документооборота участников процесса, должны быть подписаны усиленной квалифицированной электронной подписью (</w:t>
      </w:r>
      <w:hyperlink r:id="rId16">
        <w:r>
          <w:rPr>
            <w:color w:val="0000FF"/>
          </w:rPr>
          <w:t>ч. 1.1 ст. 3</w:t>
        </w:r>
      </w:hyperlink>
      <w:r>
        <w:t xml:space="preserve">, </w:t>
      </w:r>
      <w:hyperlink r:id="rId17">
        <w:r>
          <w:rPr>
            <w:color w:val="0000FF"/>
          </w:rPr>
          <w:t>ч. 4 ст. 131</w:t>
        </w:r>
      </w:hyperlink>
      <w:r>
        <w:t xml:space="preserve"> ГПК РФ).</w:t>
      </w:r>
    </w:p>
    <w:p w:rsidR="00FD2B41" w:rsidRDefault="00FD2B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555"/>
        <w:gridCol w:w="8440"/>
        <w:gridCol w:w="180"/>
      </w:tblGrid>
      <w:tr w:rsidR="00FD2B41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41" w:rsidRDefault="00FD2B41">
            <w:pPr>
              <w:pStyle w:val="ConsPlusNormal"/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D2B41" w:rsidRDefault="00FD2B41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D2B41" w:rsidRDefault="00FD2B41">
            <w:pPr>
              <w:pStyle w:val="ConsPlusNormal"/>
              <w:jc w:val="both"/>
            </w:pPr>
            <w:r>
              <w:t>См. Образец искового заявления в MS Word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41" w:rsidRDefault="00FD2B41">
            <w:pPr>
              <w:pStyle w:val="ConsPlusNormal"/>
            </w:pPr>
          </w:p>
        </w:tc>
      </w:tr>
    </w:tbl>
    <w:p w:rsidR="00FD2B41" w:rsidRDefault="00FD2B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80"/>
        <w:gridCol w:w="8935"/>
        <w:gridCol w:w="180"/>
      </w:tblGrid>
      <w:tr w:rsidR="00FD2B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41" w:rsidRDefault="00FD2B41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41" w:rsidRDefault="00FD2B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D2B41" w:rsidRDefault="00FD2B41">
            <w:pPr>
              <w:pStyle w:val="ConsPlusNormal"/>
            </w:pPr>
            <w:r>
              <w:t>Исх. N 7 от 13.02.2026</w:t>
            </w:r>
          </w:p>
          <w:p w:rsidR="00FD2B41" w:rsidRDefault="00FD2B41">
            <w:pPr>
              <w:pStyle w:val="ConsPlusNormal"/>
              <w:jc w:val="right"/>
            </w:pPr>
            <w:r>
              <w:t>Мировому судье</w:t>
            </w:r>
          </w:p>
          <w:p w:rsidR="00FD2B41" w:rsidRDefault="00FD2B41">
            <w:pPr>
              <w:pStyle w:val="ConsPlusNormal"/>
              <w:jc w:val="right"/>
            </w:pPr>
            <w:r>
              <w:t>Судебного участка N 396</w:t>
            </w:r>
          </w:p>
          <w:p w:rsidR="00FD2B41" w:rsidRDefault="00FD2B41">
            <w:pPr>
              <w:pStyle w:val="ConsPlusNormal"/>
              <w:jc w:val="right"/>
            </w:pPr>
            <w:r>
              <w:t>по району Якиманка, г. Энск</w:t>
            </w:r>
          </w:p>
          <w:p w:rsidR="00FD2B41" w:rsidRDefault="00FD2B41">
            <w:pPr>
              <w:pStyle w:val="ConsPlusNormal"/>
              <w:jc w:val="both"/>
            </w:pPr>
          </w:p>
          <w:p w:rsidR="00FD2B41" w:rsidRDefault="00FD2B41">
            <w:pPr>
              <w:pStyle w:val="ConsPlusNormal"/>
              <w:jc w:val="right"/>
            </w:pPr>
            <w:r>
              <w:t xml:space="preserve">Адрес: 117420, г. Энск, ул. </w:t>
            </w:r>
            <w:proofErr w:type="gramStart"/>
            <w:r>
              <w:t>Мытная</w:t>
            </w:r>
            <w:proofErr w:type="gramEnd"/>
            <w:r>
              <w:t>, д. 16</w:t>
            </w:r>
          </w:p>
          <w:p w:rsidR="00FD2B41" w:rsidRDefault="00FD2B41">
            <w:pPr>
              <w:pStyle w:val="ConsPlusNormal"/>
              <w:spacing w:after="1"/>
            </w:pP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8649"/>
              <w:gridCol w:w="113"/>
            </w:tblGrid>
            <w:tr w:rsidR="00FD2B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2B41" w:rsidRDefault="00FD2B4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2B41" w:rsidRDefault="00FD2B41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D2B41" w:rsidRDefault="00FD2B4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Примечание:</w:t>
                  </w:r>
                </w:p>
                <w:p w:rsidR="00FD2B41" w:rsidRDefault="00FD2B4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Если категория дела и цена иска соответствуют </w:t>
                  </w:r>
                  <w:hyperlink r:id="rId19">
                    <w:r>
                      <w:rPr>
                        <w:color w:val="0000FF"/>
                      </w:rPr>
                      <w:t>п. п. 4</w:t>
                    </w:r>
                  </w:hyperlink>
                  <w:r>
                    <w:rPr>
                      <w:color w:val="392C69"/>
                    </w:rPr>
                    <w:t xml:space="preserve">, </w:t>
                  </w:r>
                  <w:hyperlink r:id="rId20">
                    <w:r>
                      <w:rPr>
                        <w:color w:val="0000FF"/>
                      </w:rPr>
                      <w:t>5 ч. 1 ст. 23</w:t>
                    </w:r>
                  </w:hyperlink>
                  <w:r>
                    <w:rPr>
                      <w:color w:val="392C69"/>
                    </w:rPr>
                    <w:t xml:space="preserve"> ГПК РФ, подайте иск мировому судье. В случаях, предусмотренных </w:t>
                  </w:r>
                  <w:hyperlink r:id="rId21">
                    <w:r>
                      <w:rPr>
                        <w:color w:val="0000FF"/>
                      </w:rPr>
                      <w:t>ст. 24</w:t>
                    </w:r>
                  </w:hyperlink>
                  <w:r>
                    <w:rPr>
                      <w:color w:val="392C69"/>
                    </w:rPr>
                    <w:t xml:space="preserve"> ГПК РФ, - в районный суд.</w:t>
                  </w:r>
                </w:p>
                <w:p w:rsidR="00FD2B41" w:rsidRDefault="00FD2B4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По общему правилу иск подается в суд по месту жительства (адресу) ответчика (</w:t>
                  </w:r>
                  <w:hyperlink r:id="rId22">
                    <w:r>
                      <w:rPr>
                        <w:color w:val="0000FF"/>
                      </w:rPr>
                      <w:t>ст. 28</w:t>
                    </w:r>
                  </w:hyperlink>
                  <w:r>
                    <w:rPr>
                      <w:color w:val="392C69"/>
                    </w:rPr>
                    <w:t xml:space="preserve"> ГПК РФ).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2B41" w:rsidRDefault="00FD2B41">
                  <w:pPr>
                    <w:pStyle w:val="ConsPlusNormal"/>
                  </w:pPr>
                </w:p>
              </w:tc>
            </w:tr>
          </w:tbl>
          <w:p w:rsidR="00FD2B41" w:rsidRDefault="00FD2B41">
            <w:pPr>
              <w:pStyle w:val="ConsPlusNormal"/>
              <w:spacing w:before="280"/>
              <w:jc w:val="right"/>
            </w:pPr>
            <w:r>
              <w:rPr>
                <w:b/>
              </w:rPr>
              <w:t>Истец:</w:t>
            </w:r>
          </w:p>
          <w:p w:rsidR="00FD2B41" w:rsidRDefault="00FD2B41">
            <w:pPr>
              <w:pStyle w:val="ConsPlusNormal"/>
              <w:jc w:val="right"/>
            </w:pPr>
            <w:r>
              <w:t>Общество с ограниченной ответственностью "Альфа"</w:t>
            </w:r>
          </w:p>
          <w:p w:rsidR="00FD2B41" w:rsidRDefault="00FD2B41">
            <w:pPr>
              <w:pStyle w:val="ConsPlusNormal"/>
              <w:jc w:val="right"/>
            </w:pPr>
            <w:r>
              <w:t>ИНН 2234567891</w:t>
            </w:r>
          </w:p>
          <w:p w:rsidR="00FD2B41" w:rsidRDefault="00FD2B41">
            <w:pPr>
              <w:pStyle w:val="ConsPlusNormal"/>
              <w:jc w:val="right"/>
            </w:pPr>
            <w:r>
              <w:lastRenderedPageBreak/>
              <w:t>Адрес: 117418, г. Энск, ул. Цюрупы, д. 12, корп. 9</w:t>
            </w:r>
          </w:p>
          <w:p w:rsidR="00FD2B41" w:rsidRDefault="00FD2B41">
            <w:pPr>
              <w:pStyle w:val="ConsPlusNormal"/>
              <w:jc w:val="right"/>
            </w:pPr>
            <w:r>
              <w:t>Телефон: +7 (123) 313-33-13</w:t>
            </w:r>
          </w:p>
          <w:p w:rsidR="00FD2B41" w:rsidRDefault="00FD2B41">
            <w:pPr>
              <w:pStyle w:val="ConsPlusNormal"/>
              <w:jc w:val="right"/>
            </w:pPr>
            <w:r>
              <w:t>Электронная почта: info@alfa.ru</w:t>
            </w:r>
          </w:p>
          <w:p w:rsidR="00FD2B41" w:rsidRDefault="00FD2B41">
            <w:pPr>
              <w:pStyle w:val="ConsPlusNormal"/>
              <w:jc w:val="both"/>
            </w:pPr>
          </w:p>
          <w:p w:rsidR="00FD2B41" w:rsidRDefault="00FD2B41">
            <w:pPr>
              <w:pStyle w:val="ConsPlusNormal"/>
              <w:jc w:val="right"/>
            </w:pPr>
            <w:r>
              <w:rPr>
                <w:b/>
              </w:rPr>
              <w:t>Ответчик:</w:t>
            </w:r>
          </w:p>
          <w:p w:rsidR="00FD2B41" w:rsidRDefault="00FD2B41">
            <w:pPr>
              <w:pStyle w:val="ConsPlusNormal"/>
              <w:jc w:val="right"/>
            </w:pPr>
            <w:r>
              <w:t>Аркадьев Денис Николаевич</w:t>
            </w:r>
          </w:p>
          <w:p w:rsidR="00FD2B41" w:rsidRDefault="00FD2B41">
            <w:pPr>
              <w:pStyle w:val="ConsPlusNormal"/>
              <w:jc w:val="right"/>
            </w:pPr>
            <w:r>
              <w:t>Паспорт РФ: серия 4315 номер 654321,</w:t>
            </w:r>
          </w:p>
          <w:p w:rsidR="00FD2B41" w:rsidRDefault="00FD2B41">
            <w:pPr>
              <w:pStyle w:val="ConsPlusNormal"/>
              <w:jc w:val="right"/>
            </w:pPr>
            <w:proofErr w:type="gramStart"/>
            <w:r>
              <w:t>выдан</w:t>
            </w:r>
            <w:proofErr w:type="gramEnd"/>
            <w:r>
              <w:t xml:space="preserve"> отделением УФМС России по г. Энску</w:t>
            </w:r>
          </w:p>
          <w:p w:rsidR="00FD2B41" w:rsidRDefault="00FD2B41">
            <w:pPr>
              <w:pStyle w:val="ConsPlusNormal"/>
              <w:jc w:val="right"/>
            </w:pPr>
            <w:r>
              <w:t>27.11.2015</w:t>
            </w:r>
          </w:p>
          <w:p w:rsidR="00FD2B41" w:rsidRDefault="00FD2B41">
            <w:pPr>
              <w:pStyle w:val="ConsPlusNormal"/>
              <w:jc w:val="right"/>
            </w:pPr>
            <w:r>
              <w:t>Дата рождения 07.11.1970</w:t>
            </w:r>
          </w:p>
          <w:p w:rsidR="00FD2B41" w:rsidRDefault="00FD2B41">
            <w:pPr>
              <w:pStyle w:val="ConsPlusNormal"/>
              <w:jc w:val="right"/>
            </w:pPr>
            <w:r>
              <w:t>Место рождения: г. Энск Энской области</w:t>
            </w:r>
          </w:p>
          <w:p w:rsidR="00FD2B41" w:rsidRDefault="00FD2B41">
            <w:pPr>
              <w:pStyle w:val="ConsPlusNormal"/>
              <w:jc w:val="right"/>
            </w:pPr>
            <w:r>
              <w:t>Место жительства: 100131, г. Энск, пер. Жижека, д. 1, кв. 1</w:t>
            </w:r>
          </w:p>
          <w:p w:rsidR="00FD2B41" w:rsidRDefault="00FD2B41">
            <w:pPr>
              <w:pStyle w:val="ConsPlusNormal"/>
              <w:jc w:val="right"/>
            </w:pPr>
            <w:r>
              <w:t>Телефон: +7 (123) 333-33-33</w:t>
            </w:r>
          </w:p>
          <w:p w:rsidR="00FD2B41" w:rsidRDefault="00FD2B41">
            <w:pPr>
              <w:pStyle w:val="ConsPlusNormal"/>
              <w:jc w:val="right"/>
            </w:pPr>
            <w:r>
              <w:t>Электронная почта: arkadyev@po4ta.ru</w:t>
            </w:r>
          </w:p>
          <w:p w:rsidR="00FD2B41" w:rsidRDefault="00FD2B41">
            <w:pPr>
              <w:pStyle w:val="ConsPlusNormal"/>
              <w:jc w:val="both"/>
            </w:pPr>
          </w:p>
          <w:p w:rsidR="00FD2B41" w:rsidRDefault="00FD2B41">
            <w:pPr>
              <w:pStyle w:val="ConsPlusNormal"/>
              <w:jc w:val="right"/>
            </w:pPr>
            <w:r>
              <w:rPr>
                <w:b/>
              </w:rPr>
              <w:t>Цена иска:</w:t>
            </w:r>
            <w:r>
              <w:t xml:space="preserve"> 33 902 руб. 46 коп.</w:t>
            </w:r>
          </w:p>
          <w:p w:rsidR="00FD2B41" w:rsidRDefault="00FD2B41">
            <w:pPr>
              <w:pStyle w:val="ConsPlusNormal"/>
              <w:jc w:val="right"/>
            </w:pPr>
            <w:r>
              <w:t>Государственная пошлина: 100 000 руб.</w:t>
            </w:r>
          </w:p>
          <w:p w:rsidR="00FD2B41" w:rsidRDefault="00FD2B41">
            <w:pPr>
              <w:pStyle w:val="ConsPlusNormal"/>
              <w:spacing w:after="1"/>
            </w:pP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8649"/>
              <w:gridCol w:w="113"/>
            </w:tblGrid>
            <w:tr w:rsidR="00FD2B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2B41" w:rsidRDefault="00FD2B4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2B41" w:rsidRDefault="00FD2B41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D2B41" w:rsidRDefault="00FD2B4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Примечание:</w:t>
                  </w:r>
                </w:p>
                <w:p w:rsidR="00FD2B41" w:rsidRDefault="00FD2B4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Госпошлина рассчитывается в соответствии с </w:t>
                  </w:r>
                  <w:hyperlink r:id="rId23">
                    <w:r>
                      <w:rPr>
                        <w:color w:val="0000FF"/>
                      </w:rPr>
                      <w:t>пп. 1 п. 1 ст. 333.19</w:t>
                    </w:r>
                  </w:hyperlink>
                  <w:r>
                    <w:rPr>
                      <w:color w:val="392C69"/>
                    </w:rPr>
                    <w:t xml:space="preserve"> НК РФ.</w:t>
                  </w:r>
                </w:p>
                <w:p w:rsidR="00FD2B41" w:rsidRDefault="00FD2B4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Для удобства расчета можно воспользоваться сервисом "Калькуляторы", ссылку на который вы найдете на главной странице СПС "КонсультантПлюс".</w:t>
                  </w:r>
                </w:p>
                <w:p w:rsidR="00FD2B41" w:rsidRDefault="00FD2B4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Сумму госпошлины округлите до полного рубля (</w:t>
                  </w:r>
                  <w:hyperlink r:id="rId24">
                    <w:r>
                      <w:rPr>
                        <w:color w:val="0000FF"/>
                      </w:rPr>
                      <w:t>п. 6 ст. 52</w:t>
                    </w:r>
                  </w:hyperlink>
                  <w:r>
                    <w:rPr>
                      <w:color w:val="392C69"/>
                    </w:rPr>
                    <w:t xml:space="preserve">, </w:t>
                  </w:r>
                  <w:hyperlink r:id="rId25">
                    <w:r>
                      <w:rPr>
                        <w:color w:val="0000FF"/>
                      </w:rPr>
                      <w:t>п. 1 ст. 333.16</w:t>
                    </w:r>
                  </w:hyperlink>
                  <w:r>
                    <w:rPr>
                      <w:color w:val="392C69"/>
                    </w:rPr>
                    <w:t xml:space="preserve"> НК РФ, </w:t>
                  </w:r>
                  <w:hyperlink r:id="rId26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Росреестра от 02.07.2025 N 14-05473/25 (вместе с </w:t>
                  </w:r>
                  <w:hyperlink r:id="rId27">
                    <w:r>
                      <w:rPr>
                        <w:color w:val="0000FF"/>
                      </w:rPr>
                      <w:t>Письмом</w:t>
                    </w:r>
                  </w:hyperlink>
                  <w:r>
                    <w:rPr>
                      <w:color w:val="392C69"/>
                    </w:rPr>
                    <w:t xml:space="preserve"> Минфина России от 28.05.2025 N 03-05-04-03/52566)).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2B41" w:rsidRDefault="00FD2B41">
                  <w:pPr>
                    <w:pStyle w:val="ConsPlusNormal"/>
                  </w:pPr>
                </w:p>
              </w:tc>
            </w:tr>
          </w:tbl>
          <w:p w:rsidR="00FD2B41" w:rsidRDefault="00FD2B41">
            <w:pPr>
              <w:pStyle w:val="ConsPlusNormal"/>
              <w:jc w:val="both"/>
            </w:pPr>
          </w:p>
          <w:p w:rsidR="00FD2B41" w:rsidRDefault="00FD2B41">
            <w:pPr>
              <w:pStyle w:val="ConsPlusNormal"/>
              <w:jc w:val="center"/>
            </w:pPr>
            <w:r>
              <w:rPr>
                <w:b/>
              </w:rPr>
              <w:t>ИСКОВОЕ ЗАЯВЛЕНИЕ</w:t>
            </w:r>
          </w:p>
          <w:p w:rsidR="00FD2B41" w:rsidRDefault="00FD2B41">
            <w:pPr>
              <w:pStyle w:val="ConsPlusNormal"/>
              <w:jc w:val="center"/>
            </w:pPr>
            <w:r>
              <w:t>о взыскании неосновательного обогащения и процентов</w:t>
            </w:r>
          </w:p>
          <w:p w:rsidR="00FD2B41" w:rsidRDefault="00FD2B41">
            <w:pPr>
              <w:pStyle w:val="ConsPlusNormal"/>
              <w:jc w:val="center"/>
            </w:pPr>
            <w:r>
              <w:t>за пользование чужими денежными средствами</w:t>
            </w:r>
          </w:p>
          <w:p w:rsidR="00FD2B41" w:rsidRDefault="00FD2B41">
            <w:pPr>
              <w:pStyle w:val="ConsPlusNormal"/>
              <w:jc w:val="both"/>
            </w:pPr>
          </w:p>
          <w:p w:rsidR="00FD2B41" w:rsidRDefault="00FD2B41">
            <w:pPr>
              <w:pStyle w:val="ConsPlusNormal"/>
              <w:jc w:val="both"/>
            </w:pPr>
            <w:r>
              <w:rPr>
                <w:b/>
              </w:rPr>
              <w:t>1.</w:t>
            </w:r>
            <w:r>
              <w:t xml:space="preserve"> 15 апреля 2025 г. межд</w:t>
            </w:r>
            <w:proofErr w:type="gramStart"/>
            <w:r>
              <w:t>у ООО</w:t>
            </w:r>
            <w:proofErr w:type="gramEnd"/>
            <w:r>
              <w:t xml:space="preserve"> "Альфа" (истец, заказчик) и Аркадьевым Денисом Николаевичем (ответчик, подрядчик) был заключен договор подряда на разработку web-сайта N 1/25-М (далее - договор).</w:t>
            </w:r>
          </w:p>
          <w:p w:rsidR="00FD2B41" w:rsidRDefault="00FD2B41">
            <w:pPr>
              <w:pStyle w:val="ConsPlusNormal"/>
              <w:jc w:val="both"/>
            </w:pPr>
            <w:r>
              <w:t xml:space="preserve">По договору Аркадьев Д.Н. обязался выполнить по заданию заказчика работу: разработать web-сайт и передать ключ доступа и пароли от сайта заказчику, </w:t>
            </w:r>
            <w:proofErr w:type="gramStart"/>
            <w:r>
              <w:t>а ООО</w:t>
            </w:r>
            <w:proofErr w:type="gramEnd"/>
            <w:r>
              <w:t xml:space="preserve"> "Альфа" обязалось принять результат работы и оплатить его (п. 1.1 договора).</w:t>
            </w:r>
          </w:p>
          <w:p w:rsidR="00FD2B41" w:rsidRDefault="00FD2B41">
            <w:pPr>
              <w:pStyle w:val="ConsPlusNormal"/>
              <w:jc w:val="both"/>
            </w:pPr>
            <w:r>
              <w:t>Пунктом 3.2 договора установлены следующие сроки оплаты работ:</w:t>
            </w:r>
          </w:p>
          <w:p w:rsidR="00FD2B41" w:rsidRDefault="00FD2B41">
            <w:pPr>
              <w:pStyle w:val="ConsPlusNormal"/>
              <w:numPr>
                <w:ilvl w:val="0"/>
                <w:numId w:val="1"/>
              </w:numPr>
              <w:jc w:val="both"/>
            </w:pPr>
            <w:r>
              <w:t>в течение 5 (пяти) рабочих дней с момента подписания договора - 30 000 (тридцать тысяч) руб.;</w:t>
            </w:r>
          </w:p>
          <w:p w:rsidR="00FD2B41" w:rsidRDefault="00FD2B41">
            <w:pPr>
              <w:pStyle w:val="ConsPlusNormal"/>
              <w:numPr>
                <w:ilvl w:val="0"/>
                <w:numId w:val="1"/>
              </w:numPr>
              <w:jc w:val="both"/>
            </w:pPr>
            <w:r>
              <w:t>в течение 5 (пяти) рабочих дней с момента подписания акта приема-передачи - 50 000 (пятьдесят тысяч) руб.</w:t>
            </w:r>
          </w:p>
          <w:p w:rsidR="00FD2B41" w:rsidRDefault="00FD2B41">
            <w:pPr>
              <w:pStyle w:val="ConsPlusNormal"/>
              <w:jc w:val="both"/>
            </w:pPr>
            <w:r>
              <w:t>В срок до 20 мая 2025 г. подрядчик обязан передать по акту приема-передачи результаты работ, ключ доступа и пароли от сайта (п. 2.8 договора).</w:t>
            </w:r>
          </w:p>
          <w:p w:rsidR="00FD2B41" w:rsidRDefault="00FD2B41">
            <w:pPr>
              <w:pStyle w:val="ConsPlusNormal"/>
              <w:jc w:val="both"/>
            </w:pPr>
            <w:r>
              <w:rPr>
                <w:b/>
              </w:rPr>
              <w:t>2.</w:t>
            </w:r>
            <w:r>
              <w:t xml:space="preserve"> 16 апреля 2025 г. заказчик уплатил 30 000 (тридцать тысяч) руб., что подтверждается платежным поручением N 12344 от 16.04.2025.</w:t>
            </w:r>
          </w:p>
          <w:p w:rsidR="00FD2B41" w:rsidRDefault="00FD2B41">
            <w:pPr>
              <w:pStyle w:val="ConsPlusNormal"/>
              <w:jc w:val="both"/>
            </w:pPr>
            <w:r>
              <w:t>Однако в срок, указанный в договоре, т.е. до 20 мая 2025 г., подрядчик результаты работ не передал. На сообщения, отправленные по электронной почте на адрес arkadyev@po4ta.ru, и телефонные звонки подрядчик не ответил, с истцом самостоятельно не связывался.</w:t>
            </w:r>
          </w:p>
          <w:p w:rsidR="00FD2B41" w:rsidRDefault="00FD2B41">
            <w:pPr>
              <w:pStyle w:val="ConsPlusNormal"/>
              <w:jc w:val="both"/>
            </w:pPr>
            <w:r>
              <w:t xml:space="preserve">В связи с </w:t>
            </w:r>
            <w:proofErr w:type="gramStart"/>
            <w:r>
              <w:t>тем</w:t>
            </w:r>
            <w:proofErr w:type="gramEnd"/>
            <w:r>
              <w:t xml:space="preserve"> что подрядчик не приступил своевременно к выполнению работы и не передал ее результаты в установленный срок, заказчик отказался от исполнения договора по правилам </w:t>
            </w:r>
            <w:hyperlink r:id="rId28">
              <w:r>
                <w:rPr>
                  <w:color w:val="0000FF"/>
                </w:rPr>
                <w:t>п. 2 ст. 715</w:t>
              </w:r>
            </w:hyperlink>
            <w:r>
              <w:t xml:space="preserve"> ГК РФ.</w:t>
            </w:r>
          </w:p>
          <w:p w:rsidR="00FD2B41" w:rsidRDefault="00FD2B41">
            <w:pPr>
              <w:pStyle w:val="ConsPlusNormal"/>
              <w:jc w:val="both"/>
            </w:pPr>
            <w:r>
              <w:lastRenderedPageBreak/>
              <w:t>22 мая 2025 г. истец передал ответчику (курьером под расписку) соответствующее уведомление об отказе от исполнения договора с требованием о возврате денежных средств, выплаченных заказчиком. Договор считается расторгнутым с момента получения уведомления (п. 8.4 договора), т.е. 22 мая 2025 г.</w:t>
            </w:r>
          </w:p>
          <w:p w:rsidR="00FD2B41" w:rsidRDefault="00FD2B41">
            <w:pPr>
              <w:pStyle w:val="ConsPlusNormal"/>
              <w:jc w:val="both"/>
            </w:pPr>
            <w:r>
              <w:t>Сумму неотработанного аванса в размере 30 000 (тридцать тысяч) руб. ответчик не возвратил.</w:t>
            </w:r>
          </w:p>
          <w:p w:rsidR="00FD2B41" w:rsidRDefault="00FD2B41">
            <w:pPr>
              <w:pStyle w:val="ConsPlusNormal"/>
              <w:jc w:val="both"/>
            </w:pPr>
            <w:r>
              <w:rPr>
                <w:b/>
              </w:rPr>
              <w:t>3.</w:t>
            </w:r>
            <w:r>
              <w:t xml:space="preserve"> 27 мая 2025 г. истец направил ответчику претензию N 1/25П-М о возврате неосновательного обогащения в размере 30 000 (тридцать тысяч) руб. Претензия передана курьером, есть отметка о получении ее ответчиком. Ответчик оставил претензию без ответа и добровольно указанную денежную сумму истцу не перечислил.</w:t>
            </w:r>
          </w:p>
          <w:p w:rsidR="00FD2B41" w:rsidRDefault="00FD2B41">
            <w:pPr>
              <w:pStyle w:val="ConsPlusNormal"/>
              <w:jc w:val="both"/>
            </w:pPr>
            <w:r>
              <w:rPr>
                <w:b/>
              </w:rPr>
              <w:t>4.</w:t>
            </w:r>
            <w:r>
              <w:t xml:space="preserve"> До расторжения договора заказчик оплатил работы, а подрядчик работы не выполнил. Соответственно, истец в силу </w:t>
            </w:r>
            <w:hyperlink r:id="rId29">
              <w:r>
                <w:rPr>
                  <w:color w:val="0000FF"/>
                </w:rPr>
                <w:t>п. 4 ст. 453</w:t>
              </w:r>
            </w:hyperlink>
            <w:r>
              <w:t xml:space="preserve"> ГК РФ вправе требовать уплаченную сумму неотработанного аванса по правилам об обязательствах вследствие неосновательного обогащения. Иное соглашением сторон не предусмотрено.</w:t>
            </w:r>
          </w:p>
          <w:p w:rsidR="00FD2B41" w:rsidRDefault="00FD2B41">
            <w:pPr>
              <w:pStyle w:val="ConsPlusNormal"/>
              <w:jc w:val="both"/>
            </w:pPr>
            <w:r>
              <w:t xml:space="preserve">Согласно </w:t>
            </w:r>
            <w:hyperlink r:id="rId30">
              <w:r>
                <w:rPr>
                  <w:color w:val="0000FF"/>
                </w:rPr>
                <w:t>п. 1 ст. 1102</w:t>
              </w:r>
            </w:hyperlink>
            <w:r>
              <w:t xml:space="preserve">, </w:t>
            </w:r>
            <w:hyperlink r:id="rId31">
              <w:r>
                <w:rPr>
                  <w:color w:val="0000FF"/>
                </w:rPr>
                <w:t>пп. 3 ст. 1103</w:t>
              </w:r>
            </w:hyperlink>
            <w:r>
              <w:t xml:space="preserve">, </w:t>
            </w:r>
            <w:hyperlink r:id="rId32">
              <w:r>
                <w:rPr>
                  <w:color w:val="0000FF"/>
                </w:rPr>
                <w:t>п. 2 ст. 1107</w:t>
              </w:r>
            </w:hyperlink>
            <w:r>
              <w:t xml:space="preserve">, </w:t>
            </w:r>
            <w:hyperlink r:id="rId33">
              <w:r>
                <w:rPr>
                  <w:color w:val="0000FF"/>
                </w:rPr>
                <w:t>п. 1 ст. 395</w:t>
              </w:r>
            </w:hyperlink>
            <w:r>
              <w:t xml:space="preserve"> ГК РФ ответчик обязан возвратить сумму неосновательного обогащения и уплатить проценты за пользование чужими средствами с того времени, когда он узнал или должен был узнать о неосновательности получения денежных средств. Размер процентов определяется </w:t>
            </w:r>
            <w:hyperlink r:id="rId34">
              <w:r>
                <w:rPr>
                  <w:color w:val="0000FF"/>
                </w:rPr>
                <w:t>ключевой ставкой Банка России</w:t>
              </w:r>
            </w:hyperlink>
            <w:r>
              <w:t>, действовавшей в соответствующие периоды.</w:t>
            </w:r>
          </w:p>
          <w:p w:rsidR="00FD2B41" w:rsidRDefault="00FD2B41">
            <w:pPr>
              <w:pStyle w:val="ConsPlusNormal"/>
              <w:jc w:val="both"/>
            </w:pPr>
            <w:r>
              <w:t>Таким образом, с 23 мая 2025 г. на сумму неосновательного денежного обогащения подлежат начислению проценты за пользование чужими денежными средствами.</w:t>
            </w:r>
          </w:p>
          <w:p w:rsidR="00FD2B41" w:rsidRDefault="00FD2B41">
            <w:pPr>
              <w:pStyle w:val="ConsPlusNormal"/>
              <w:jc w:val="both"/>
            </w:pPr>
            <w:r>
              <w:t xml:space="preserve">В период пользования ответчиком денежными средствами истца размер ключевой ставки составлял 21% - за период с 23.05.2025 по 08.06.2025, 20% - за период с 09.06.2025 по 27.07.2025, 18% - за период с 28.07.2025 </w:t>
            </w:r>
            <w:proofErr w:type="gramStart"/>
            <w:r>
              <w:t>по</w:t>
            </w:r>
            <w:proofErr w:type="gramEnd"/>
            <w:r>
              <w:t xml:space="preserve"> 14.09.2025, 17% - за период с 15.09.2025 по 26.10.2025 и 16,5% - за период с 27.10.2025 по 13.02.2026.</w:t>
            </w:r>
          </w:p>
          <w:p w:rsidR="00FD2B41" w:rsidRDefault="00FD2B41">
            <w:pPr>
              <w:pStyle w:val="ConsPlusNormal"/>
              <w:jc w:val="both"/>
            </w:pPr>
            <w:r>
              <w:t>Размер процентов за пользование чужими средствами в период с 23 мая 2025 г. по 13 февраля 2026 г. составил 3 902 (три тысячи девятьсот два) руб. 46 коп.</w:t>
            </w:r>
          </w:p>
          <w:p w:rsidR="00FD2B41" w:rsidRDefault="00FD2B41">
            <w:pPr>
              <w:pStyle w:val="ConsPlusNormal"/>
              <w:jc w:val="both"/>
            </w:pPr>
            <w:r>
              <w:t>Таким образом, цена иска составляет 33 902 руб. 46 коп., в том числе 30 000 руб. - сумма неосновательного обогащения, 3 902 руб. 46 коп</w:t>
            </w:r>
            <w:proofErr w:type="gramStart"/>
            <w:r>
              <w:t>.</w:t>
            </w:r>
            <w:proofErr w:type="gramEnd"/>
            <w:r>
              <w:t xml:space="preserve"> - </w:t>
            </w:r>
            <w:proofErr w:type="gramStart"/>
            <w:r>
              <w:t>с</w:t>
            </w:r>
            <w:proofErr w:type="gramEnd"/>
            <w:r>
              <w:t>умма процентов.</w:t>
            </w:r>
          </w:p>
          <w:p w:rsidR="00FD2B41" w:rsidRDefault="00FD2B41">
            <w:pPr>
              <w:pStyle w:val="ConsPlusNormal"/>
              <w:jc w:val="both"/>
            </w:pPr>
            <w:r>
              <w:t xml:space="preserve">На основании вышеизложенного и руководствуясь </w:t>
            </w:r>
            <w:hyperlink r:id="rId35">
              <w:r>
                <w:rPr>
                  <w:color w:val="0000FF"/>
                </w:rPr>
                <w:t>п. 1 ст. 395</w:t>
              </w:r>
            </w:hyperlink>
            <w:r>
              <w:t xml:space="preserve">, </w:t>
            </w:r>
            <w:hyperlink r:id="rId36">
              <w:r>
                <w:rPr>
                  <w:color w:val="0000FF"/>
                </w:rPr>
                <w:t>п. 1 ст. 1102</w:t>
              </w:r>
            </w:hyperlink>
            <w:r>
              <w:t xml:space="preserve">, </w:t>
            </w:r>
            <w:hyperlink r:id="rId37">
              <w:r>
                <w:rPr>
                  <w:color w:val="0000FF"/>
                </w:rPr>
                <w:t>пп. 3 ст. 1103</w:t>
              </w:r>
            </w:hyperlink>
            <w:r>
              <w:t xml:space="preserve">, </w:t>
            </w:r>
            <w:hyperlink r:id="rId38">
              <w:r>
                <w:rPr>
                  <w:color w:val="0000FF"/>
                </w:rPr>
                <w:t>п. 2 ст. 1107</w:t>
              </w:r>
            </w:hyperlink>
            <w:r>
              <w:t xml:space="preserve"> ГК РФ, </w:t>
            </w:r>
            <w:hyperlink r:id="rId39">
              <w:r>
                <w:rPr>
                  <w:color w:val="0000FF"/>
                </w:rPr>
                <w:t>ст. ст. 22</w:t>
              </w:r>
            </w:hyperlink>
            <w:r>
              <w:t xml:space="preserve">, </w:t>
            </w:r>
            <w:hyperlink r:id="rId40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r:id="rId41">
              <w:r>
                <w:rPr>
                  <w:color w:val="0000FF"/>
                </w:rPr>
                <w:t>131</w:t>
              </w:r>
            </w:hyperlink>
            <w:r>
              <w:t xml:space="preserve">, </w:t>
            </w:r>
            <w:hyperlink r:id="rId42">
              <w:r>
                <w:rPr>
                  <w:color w:val="0000FF"/>
                </w:rPr>
                <w:t>132</w:t>
              </w:r>
            </w:hyperlink>
            <w:r>
              <w:t xml:space="preserve"> ГПК РФ,</w:t>
            </w:r>
          </w:p>
          <w:p w:rsidR="00FD2B41" w:rsidRDefault="00FD2B41">
            <w:pPr>
              <w:pStyle w:val="ConsPlusNormal"/>
              <w:jc w:val="both"/>
            </w:pPr>
          </w:p>
          <w:p w:rsidR="00FD2B41" w:rsidRDefault="00FD2B41">
            <w:pPr>
              <w:pStyle w:val="ConsPlusNormal"/>
              <w:jc w:val="both"/>
            </w:pPr>
            <w:r>
              <w:t>ПРОШУ:</w:t>
            </w:r>
          </w:p>
          <w:p w:rsidR="00FD2B41" w:rsidRDefault="00FD2B41">
            <w:pPr>
              <w:pStyle w:val="ConsPlusNormal"/>
              <w:jc w:val="both"/>
            </w:pPr>
          </w:p>
          <w:p w:rsidR="00FD2B41" w:rsidRDefault="00FD2B41">
            <w:pPr>
              <w:pStyle w:val="ConsPlusNormal"/>
              <w:jc w:val="both"/>
            </w:pPr>
            <w:r>
              <w:t>1. Взыскать с ответчика сумму неосновательного обогащения в размере 30 000 (тридцать тысяч) руб.</w:t>
            </w:r>
          </w:p>
          <w:p w:rsidR="00FD2B41" w:rsidRDefault="00FD2B41">
            <w:pPr>
              <w:pStyle w:val="ConsPlusNormal"/>
              <w:jc w:val="both"/>
            </w:pPr>
            <w:r>
              <w:t>2. Взыскать с ответчика проценты за пользование чужими средствами:</w:t>
            </w:r>
          </w:p>
          <w:p w:rsidR="00FD2B41" w:rsidRDefault="00FD2B41">
            <w:pPr>
              <w:pStyle w:val="ConsPlusNormal"/>
              <w:numPr>
                <w:ilvl w:val="0"/>
                <w:numId w:val="2"/>
              </w:numPr>
              <w:jc w:val="both"/>
            </w:pPr>
            <w:r>
              <w:t>по состоянию на 13 февраля 2026 г. - в размере 3 902 руб. 46 коп</w:t>
            </w:r>
            <w:proofErr w:type="gramStart"/>
            <w:r>
              <w:t>.;</w:t>
            </w:r>
          </w:p>
          <w:p w:rsidR="00FD2B41" w:rsidRDefault="00FD2B41">
            <w:pPr>
              <w:pStyle w:val="ConsPlusNormal"/>
              <w:numPr>
                <w:ilvl w:val="0"/>
                <w:numId w:val="2"/>
              </w:numPr>
              <w:jc w:val="both"/>
            </w:pPr>
            <w:proofErr w:type="gramEnd"/>
            <w:r>
              <w:t>за период с 14 февраля 2026 г. по день вынесения судом решения - исчисленные исходя из размера ключевой ставки, установленной Банком России;</w:t>
            </w:r>
          </w:p>
          <w:p w:rsidR="00FD2B41" w:rsidRDefault="00FD2B41">
            <w:pPr>
              <w:pStyle w:val="ConsPlusNormal"/>
              <w:numPr>
                <w:ilvl w:val="0"/>
                <w:numId w:val="2"/>
              </w:numPr>
              <w:jc w:val="both"/>
            </w:pPr>
            <w:r>
              <w:t>за период со дня, следующего за днем вынесения судом решения, по день фактической уплаты долга истцу - исчисленные из расчета ключевой ставки, установленной Банком России на этот период.</w:t>
            </w:r>
          </w:p>
          <w:p w:rsidR="00FD2B41" w:rsidRDefault="00FD2B41">
            <w:pPr>
              <w:pStyle w:val="ConsPlusNormal"/>
              <w:jc w:val="both"/>
            </w:pPr>
            <w:r>
              <w:t>3. Взыскать с ответчика расходы по уплате государственной пошлины в размере 10 000 (десять тысяч) руб.</w:t>
            </w:r>
          </w:p>
          <w:p w:rsidR="00FD2B41" w:rsidRDefault="00FD2B41">
            <w:pPr>
              <w:pStyle w:val="ConsPlusNormal"/>
              <w:spacing w:after="1"/>
            </w:pP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8649"/>
              <w:gridCol w:w="113"/>
            </w:tblGrid>
            <w:tr w:rsidR="00FD2B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2B41" w:rsidRDefault="00FD2B4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2B41" w:rsidRDefault="00FD2B41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D2B41" w:rsidRDefault="00FD2B4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Примечание:</w:t>
                  </w:r>
                </w:p>
                <w:p w:rsidR="00FD2B41" w:rsidRDefault="00FD2B4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Вы также можете потребовать возмещения судебных издержек, связанных с рассмотрением дела, например расходов на оплату услуг представителя (</w:t>
                  </w:r>
                  <w:hyperlink r:id="rId43">
                    <w:r>
                      <w:rPr>
                        <w:color w:val="0000FF"/>
                      </w:rPr>
                      <w:t>ст. ст. 94</w:t>
                    </w:r>
                  </w:hyperlink>
                  <w:r>
                    <w:rPr>
                      <w:color w:val="392C69"/>
                    </w:rPr>
                    <w:t xml:space="preserve">, </w:t>
                  </w:r>
                  <w:hyperlink r:id="rId44">
                    <w:r>
                      <w:rPr>
                        <w:color w:val="0000FF"/>
                      </w:rPr>
                      <w:t>98</w:t>
                    </w:r>
                  </w:hyperlink>
                  <w:r>
                    <w:rPr>
                      <w:color w:val="392C69"/>
                    </w:rPr>
                    <w:t xml:space="preserve">, </w:t>
                  </w:r>
                  <w:hyperlink r:id="rId45">
                    <w:r>
                      <w:rPr>
                        <w:color w:val="0000FF"/>
                      </w:rPr>
                      <w:t>100</w:t>
                    </w:r>
                  </w:hyperlink>
                  <w:r>
                    <w:rPr>
                      <w:color w:val="392C69"/>
                    </w:rPr>
                    <w:t xml:space="preserve"> ГПК РФ).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2B41" w:rsidRDefault="00FD2B41">
                  <w:pPr>
                    <w:pStyle w:val="ConsPlusNormal"/>
                  </w:pPr>
                </w:p>
              </w:tc>
            </w:tr>
          </w:tbl>
          <w:p w:rsidR="00FD2B41" w:rsidRDefault="00FD2B41">
            <w:pPr>
              <w:pStyle w:val="ConsPlusNormal"/>
              <w:jc w:val="both"/>
            </w:pPr>
          </w:p>
          <w:p w:rsidR="00FD2B41" w:rsidRDefault="00FD2B41">
            <w:pPr>
              <w:pStyle w:val="ConsPlusNormal"/>
              <w:jc w:val="both"/>
            </w:pPr>
            <w:r>
              <w:t>ПРИЛОЖЕНИЕ:</w:t>
            </w:r>
          </w:p>
          <w:p w:rsidR="00FD2B41" w:rsidRDefault="00FD2B41">
            <w:pPr>
              <w:pStyle w:val="ConsPlusNormal"/>
              <w:jc w:val="both"/>
            </w:pPr>
          </w:p>
          <w:p w:rsidR="00FD2B41" w:rsidRDefault="00FD2B41">
            <w:pPr>
              <w:pStyle w:val="ConsPlusNormal"/>
              <w:numPr>
                <w:ilvl w:val="0"/>
                <w:numId w:val="3"/>
              </w:numPr>
              <w:jc w:val="both"/>
            </w:pPr>
            <w:r>
              <w:t>Уведомление о вручении, подтверждающее направление копий искового заявления и приложенных к нему документов ответчику.</w:t>
            </w:r>
          </w:p>
          <w:p w:rsidR="00FD2B41" w:rsidRDefault="00FD2B41">
            <w:pPr>
              <w:pStyle w:val="ConsPlusNormal"/>
              <w:numPr>
                <w:ilvl w:val="0"/>
                <w:numId w:val="3"/>
              </w:numPr>
              <w:jc w:val="both"/>
            </w:pPr>
            <w:r>
              <w:t>Платежное поручение N 185 от 12.02.2026, подтверждающее уплату государственной пошлины.</w:t>
            </w:r>
          </w:p>
          <w:p w:rsidR="00FD2B41" w:rsidRDefault="00FD2B41">
            <w:pPr>
              <w:pStyle w:val="ConsPlusNormal"/>
              <w:numPr>
                <w:ilvl w:val="0"/>
                <w:numId w:val="3"/>
              </w:numPr>
              <w:jc w:val="both"/>
            </w:pPr>
            <w:r>
              <w:t>Договор подряда N 1/25-М от 15.04.2025 с приложениями (копия).</w:t>
            </w:r>
          </w:p>
          <w:p w:rsidR="00FD2B41" w:rsidRDefault="00FD2B41">
            <w:pPr>
              <w:pStyle w:val="ConsPlusNormal"/>
              <w:numPr>
                <w:ilvl w:val="0"/>
                <w:numId w:val="3"/>
              </w:numPr>
              <w:jc w:val="both"/>
            </w:pPr>
            <w:r>
              <w:t>Платежное поручение N 12344 от 16.04.2025 (копия).</w:t>
            </w:r>
          </w:p>
          <w:p w:rsidR="00FD2B41" w:rsidRDefault="00FD2B41">
            <w:pPr>
              <w:pStyle w:val="ConsPlusNormal"/>
              <w:numPr>
                <w:ilvl w:val="0"/>
                <w:numId w:val="3"/>
              </w:numPr>
              <w:jc w:val="both"/>
            </w:pPr>
            <w:r>
              <w:t>Уведомление N 1 от 22.05.2025 об отказе от исполнения договора подряда с отметкой ответчика о получении (копия).</w:t>
            </w:r>
          </w:p>
          <w:p w:rsidR="00FD2B41" w:rsidRDefault="00FD2B41">
            <w:pPr>
              <w:pStyle w:val="ConsPlusNormal"/>
              <w:numPr>
                <w:ilvl w:val="0"/>
                <w:numId w:val="3"/>
              </w:numPr>
              <w:jc w:val="both"/>
            </w:pPr>
            <w:r>
              <w:t>Претензия N 1/25П-М от 27.05.2025 с отметкой ответчика о получении (копия).</w:t>
            </w:r>
          </w:p>
          <w:p w:rsidR="00FD2B41" w:rsidRDefault="00FD2B41">
            <w:pPr>
              <w:pStyle w:val="ConsPlusNormal"/>
              <w:numPr>
                <w:ilvl w:val="0"/>
                <w:numId w:val="3"/>
              </w:numPr>
              <w:jc w:val="both"/>
            </w:pPr>
            <w:r>
              <w:t>Расчет взыскиваемой суммы за период с 23.05.2025 по 13.02.2026.</w:t>
            </w:r>
          </w:p>
          <w:p w:rsidR="00FD2B41" w:rsidRDefault="00FD2B41">
            <w:pPr>
              <w:pStyle w:val="ConsPlusNormal"/>
              <w:numPr>
                <w:ilvl w:val="0"/>
                <w:numId w:val="3"/>
              </w:numPr>
              <w:jc w:val="both"/>
            </w:pPr>
            <w:r>
              <w:t>Протокол общего собрания участников ООО "Альфа" N 1 от 01.02.2024 о назначении директора (копия).</w:t>
            </w:r>
          </w:p>
          <w:p w:rsidR="00FD2B41" w:rsidRDefault="00FD2B41">
            <w:pPr>
              <w:pStyle w:val="ConsPlusNormal"/>
              <w:jc w:val="both"/>
            </w:pPr>
          </w:p>
          <w:tbl>
            <w:tblPr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22"/>
              <w:gridCol w:w="4513"/>
            </w:tblGrid>
            <w:tr w:rsidR="00FD2B41"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2B41" w:rsidRDefault="00FD2B41">
                  <w:pPr>
                    <w:pStyle w:val="ConsPlusNormal"/>
                  </w:pPr>
                  <w:r>
                    <w:t>Директор ООО "Альфа"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2B41" w:rsidRDefault="00FD2B41">
                  <w:pPr>
                    <w:pStyle w:val="ConsPlusNormal"/>
                    <w:jc w:val="right"/>
                  </w:pPr>
                  <w:r>
                    <w:t>________________/А.А. Сергеев/</w:t>
                  </w:r>
                </w:p>
              </w:tc>
            </w:tr>
          </w:tbl>
          <w:p w:rsidR="00FD2B41" w:rsidRDefault="00FD2B41">
            <w:pPr>
              <w:pStyle w:val="ConsPlusNormal"/>
              <w:jc w:val="both"/>
            </w:pPr>
          </w:p>
          <w:p w:rsidR="00FD2B41" w:rsidRDefault="00FD2B41">
            <w:pPr>
              <w:pStyle w:val="ConsPlusNormal"/>
              <w:jc w:val="both"/>
            </w:pPr>
          </w:p>
          <w:p w:rsidR="00FD2B41" w:rsidRDefault="00FD2B41">
            <w:pPr>
              <w:pStyle w:val="ConsPlusNormal"/>
              <w:jc w:val="both"/>
            </w:pPr>
          </w:p>
          <w:p w:rsidR="00FD2B41" w:rsidRDefault="00FD2B41">
            <w:pPr>
              <w:pStyle w:val="ConsPlusNormal"/>
              <w:jc w:val="both"/>
            </w:pPr>
          </w:p>
          <w:p w:rsidR="00FD2B41" w:rsidRDefault="00FD2B41">
            <w:pPr>
              <w:pStyle w:val="ConsPlusNormal"/>
              <w:jc w:val="both"/>
            </w:pPr>
          </w:p>
          <w:p w:rsidR="00FD2B41" w:rsidRDefault="00FD2B41">
            <w:pPr>
              <w:pStyle w:val="ConsPlusNormal"/>
              <w:jc w:val="right"/>
            </w:pPr>
            <w:r>
              <w:t>Приложение к исковому заявлению</w:t>
            </w:r>
          </w:p>
          <w:p w:rsidR="00FD2B41" w:rsidRDefault="00FD2B41">
            <w:pPr>
              <w:pStyle w:val="ConsPlusNormal"/>
              <w:jc w:val="right"/>
            </w:pPr>
            <w:r>
              <w:t>N 7 от 13.02.2026</w:t>
            </w:r>
          </w:p>
          <w:p w:rsidR="00FD2B41" w:rsidRDefault="00FD2B41">
            <w:pPr>
              <w:pStyle w:val="ConsPlusNormal"/>
              <w:jc w:val="both"/>
            </w:pPr>
          </w:p>
          <w:p w:rsidR="00FD2B41" w:rsidRDefault="00FD2B41">
            <w:pPr>
              <w:pStyle w:val="ConsPlusNormal"/>
              <w:jc w:val="center"/>
            </w:pPr>
            <w:r>
              <w:rPr>
                <w:b/>
              </w:rPr>
              <w:t>Расчет взыскиваемой суммы</w:t>
            </w:r>
          </w:p>
          <w:p w:rsidR="00FD2B41" w:rsidRDefault="00FD2B41">
            <w:pPr>
              <w:pStyle w:val="ConsPlusNormal"/>
              <w:jc w:val="center"/>
            </w:pPr>
            <w:r>
              <w:t>за период с 23.05.2025 по 13.02.2026</w:t>
            </w:r>
          </w:p>
          <w:p w:rsidR="00FD2B41" w:rsidRDefault="00FD2B41">
            <w:pPr>
              <w:pStyle w:val="ConsPlusNormal"/>
              <w:jc w:val="both"/>
            </w:pPr>
          </w:p>
          <w:p w:rsidR="00FD2B41" w:rsidRDefault="00FD2B41">
            <w:pPr>
              <w:pStyle w:val="ConsPlusNormal"/>
              <w:jc w:val="both"/>
            </w:pPr>
            <w:r>
              <w:rPr>
                <w:b/>
              </w:rPr>
              <w:t>Цена иска</w:t>
            </w:r>
          </w:p>
          <w:p w:rsidR="00FD2B41" w:rsidRDefault="00FD2B41">
            <w:pPr>
              <w:pStyle w:val="ConsPlusNormal"/>
              <w:jc w:val="both"/>
            </w:pPr>
            <w:r>
              <w:t>30 000 руб. (сумма неосновательного обогащения) + 3 902 руб. 46 коп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с</w:t>
            </w:r>
            <w:proofErr w:type="gramEnd"/>
            <w:r>
              <w:t>умма процентов) = 33 902 руб. 46 коп.</w:t>
            </w:r>
          </w:p>
          <w:p w:rsidR="00FD2B41" w:rsidRDefault="00FD2B41">
            <w:pPr>
              <w:pStyle w:val="ConsPlusNormal"/>
              <w:jc w:val="both"/>
            </w:pPr>
            <w:r>
              <w:rPr>
                <w:b/>
              </w:rPr>
              <w:t xml:space="preserve">Расчет процентов по </w:t>
            </w:r>
            <w:hyperlink r:id="rId46">
              <w:r>
                <w:rPr>
                  <w:b/>
                  <w:color w:val="0000FF"/>
                </w:rPr>
                <w:t>ст. 395</w:t>
              </w:r>
            </w:hyperlink>
            <w:r>
              <w:rPr>
                <w:b/>
              </w:rPr>
              <w:t xml:space="preserve"> ГК РФ</w:t>
            </w:r>
          </w:p>
          <w:p w:rsidR="00FD2B41" w:rsidRDefault="00FD2B41">
            <w:pPr>
              <w:pStyle w:val="ConsPlusNormal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032"/>
              <w:gridCol w:w="1521"/>
              <w:gridCol w:w="1462"/>
              <w:gridCol w:w="1669"/>
              <w:gridCol w:w="996"/>
              <w:gridCol w:w="1245"/>
            </w:tblGrid>
            <w:tr w:rsidR="00FD2B41">
              <w:tc>
                <w:tcPr>
                  <w:tcW w:w="2211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Сумма неосновательного обогащения (руб.)</w:t>
                  </w:r>
                </w:p>
              </w:tc>
              <w:tc>
                <w:tcPr>
                  <w:tcW w:w="1701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Период пользования денежными средствами</w:t>
                  </w:r>
                </w:p>
              </w:tc>
              <w:tc>
                <w:tcPr>
                  <w:tcW w:w="1587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Количество дней пользования денежными средствами</w:t>
                  </w:r>
                </w:p>
              </w:tc>
              <w:tc>
                <w:tcPr>
                  <w:tcW w:w="2263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Ключевая ставка Банка России</w:t>
                  </w:r>
                  <w:proofErr w:type="gramStart"/>
                  <w:r>
                    <w:t xml:space="preserve"> (%)</w:t>
                  </w:r>
                  <w:proofErr w:type="gramEnd"/>
                </w:p>
              </w:tc>
              <w:tc>
                <w:tcPr>
                  <w:tcW w:w="1361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Дней в году</w:t>
                  </w:r>
                </w:p>
              </w:tc>
              <w:tc>
                <w:tcPr>
                  <w:tcW w:w="1361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Сумма процентов (руб.)</w:t>
                  </w:r>
                </w:p>
              </w:tc>
            </w:tr>
            <w:tr w:rsidR="00FD2B41">
              <w:tc>
                <w:tcPr>
                  <w:tcW w:w="2211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1</w:t>
                  </w:r>
                </w:p>
              </w:tc>
              <w:tc>
                <w:tcPr>
                  <w:tcW w:w="1701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2</w:t>
                  </w:r>
                </w:p>
              </w:tc>
              <w:tc>
                <w:tcPr>
                  <w:tcW w:w="1587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3</w:t>
                  </w:r>
                </w:p>
              </w:tc>
              <w:tc>
                <w:tcPr>
                  <w:tcW w:w="2263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4</w:t>
                  </w:r>
                </w:p>
              </w:tc>
              <w:tc>
                <w:tcPr>
                  <w:tcW w:w="1361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5</w:t>
                  </w:r>
                </w:p>
              </w:tc>
              <w:tc>
                <w:tcPr>
                  <w:tcW w:w="1361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6</w:t>
                  </w:r>
                </w:p>
              </w:tc>
            </w:tr>
            <w:tr w:rsidR="00FD2B41">
              <w:tc>
                <w:tcPr>
                  <w:tcW w:w="2211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30 000</w:t>
                  </w:r>
                </w:p>
              </w:tc>
              <w:tc>
                <w:tcPr>
                  <w:tcW w:w="1701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23.05.2025 - 08.06.2025</w:t>
                  </w:r>
                </w:p>
              </w:tc>
              <w:tc>
                <w:tcPr>
                  <w:tcW w:w="1587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17</w:t>
                  </w:r>
                </w:p>
              </w:tc>
              <w:tc>
                <w:tcPr>
                  <w:tcW w:w="2263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21</w:t>
                  </w:r>
                </w:p>
              </w:tc>
              <w:tc>
                <w:tcPr>
                  <w:tcW w:w="1361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365</w:t>
                  </w:r>
                </w:p>
              </w:tc>
              <w:tc>
                <w:tcPr>
                  <w:tcW w:w="1361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293,42</w:t>
                  </w:r>
                </w:p>
              </w:tc>
            </w:tr>
            <w:tr w:rsidR="00FD2B41">
              <w:tc>
                <w:tcPr>
                  <w:tcW w:w="2211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30 000</w:t>
                  </w:r>
                </w:p>
              </w:tc>
              <w:tc>
                <w:tcPr>
                  <w:tcW w:w="1701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09.06.2025 - 27.07.2025</w:t>
                  </w:r>
                </w:p>
              </w:tc>
              <w:tc>
                <w:tcPr>
                  <w:tcW w:w="1587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49</w:t>
                  </w:r>
                </w:p>
              </w:tc>
              <w:tc>
                <w:tcPr>
                  <w:tcW w:w="2263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20</w:t>
                  </w:r>
                </w:p>
              </w:tc>
              <w:tc>
                <w:tcPr>
                  <w:tcW w:w="1361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365</w:t>
                  </w:r>
                </w:p>
              </w:tc>
              <w:tc>
                <w:tcPr>
                  <w:tcW w:w="1361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805,48</w:t>
                  </w:r>
                </w:p>
              </w:tc>
            </w:tr>
            <w:tr w:rsidR="00FD2B41">
              <w:tc>
                <w:tcPr>
                  <w:tcW w:w="2211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30 000</w:t>
                  </w:r>
                </w:p>
              </w:tc>
              <w:tc>
                <w:tcPr>
                  <w:tcW w:w="1701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28.07.2025 - 14.09.2025</w:t>
                  </w:r>
                </w:p>
              </w:tc>
              <w:tc>
                <w:tcPr>
                  <w:tcW w:w="1587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49</w:t>
                  </w:r>
                </w:p>
              </w:tc>
              <w:tc>
                <w:tcPr>
                  <w:tcW w:w="2263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18</w:t>
                  </w:r>
                </w:p>
              </w:tc>
              <w:tc>
                <w:tcPr>
                  <w:tcW w:w="1361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365</w:t>
                  </w:r>
                </w:p>
              </w:tc>
              <w:tc>
                <w:tcPr>
                  <w:tcW w:w="1361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724,93</w:t>
                  </w:r>
                </w:p>
              </w:tc>
            </w:tr>
            <w:tr w:rsidR="00FD2B41">
              <w:tc>
                <w:tcPr>
                  <w:tcW w:w="2211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30 000</w:t>
                  </w:r>
                </w:p>
              </w:tc>
              <w:tc>
                <w:tcPr>
                  <w:tcW w:w="1701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15.09.2025 - 26.10.2025</w:t>
                  </w:r>
                </w:p>
              </w:tc>
              <w:tc>
                <w:tcPr>
                  <w:tcW w:w="1587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42</w:t>
                  </w:r>
                </w:p>
              </w:tc>
              <w:tc>
                <w:tcPr>
                  <w:tcW w:w="2263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17</w:t>
                  </w:r>
                </w:p>
              </w:tc>
              <w:tc>
                <w:tcPr>
                  <w:tcW w:w="1361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365</w:t>
                  </w:r>
                </w:p>
              </w:tc>
              <w:tc>
                <w:tcPr>
                  <w:tcW w:w="1361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586,85</w:t>
                  </w:r>
                </w:p>
              </w:tc>
            </w:tr>
            <w:tr w:rsidR="00FD2B41">
              <w:tc>
                <w:tcPr>
                  <w:tcW w:w="2211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30 000</w:t>
                  </w:r>
                </w:p>
              </w:tc>
              <w:tc>
                <w:tcPr>
                  <w:tcW w:w="1701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27.10.2025 - 13.02.2026</w:t>
                  </w:r>
                </w:p>
              </w:tc>
              <w:tc>
                <w:tcPr>
                  <w:tcW w:w="1587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110</w:t>
                  </w:r>
                </w:p>
              </w:tc>
              <w:tc>
                <w:tcPr>
                  <w:tcW w:w="2263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16,5</w:t>
                  </w:r>
                </w:p>
              </w:tc>
              <w:tc>
                <w:tcPr>
                  <w:tcW w:w="1361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365</w:t>
                  </w:r>
                </w:p>
              </w:tc>
              <w:tc>
                <w:tcPr>
                  <w:tcW w:w="1361" w:type="dxa"/>
                </w:tcPr>
                <w:p w:rsidR="00FD2B41" w:rsidRDefault="00FD2B41">
                  <w:pPr>
                    <w:pStyle w:val="ConsPlusNormal"/>
                    <w:jc w:val="center"/>
                  </w:pPr>
                  <w:r>
                    <w:t>1 491,78</w:t>
                  </w:r>
                </w:p>
              </w:tc>
            </w:tr>
          </w:tbl>
          <w:p w:rsidR="00FD2B41" w:rsidRDefault="00FD2B41">
            <w:pPr>
              <w:pStyle w:val="ConsPlusNormal"/>
              <w:jc w:val="both"/>
            </w:pPr>
          </w:p>
          <w:p w:rsidR="00FD2B41" w:rsidRDefault="00FD2B41">
            <w:pPr>
              <w:pStyle w:val="ConsPlusNormal"/>
              <w:jc w:val="both"/>
            </w:pPr>
            <w:r>
              <w:t>Сумма процентов: 3 902,46 руб.</w:t>
            </w:r>
          </w:p>
          <w:p w:rsidR="00FD2B41" w:rsidRDefault="00FD2B41">
            <w:pPr>
              <w:pStyle w:val="ConsPlusNormal"/>
              <w:jc w:val="both"/>
            </w:pPr>
          </w:p>
          <w:p w:rsidR="00FD2B41" w:rsidRDefault="00FD2B41">
            <w:pPr>
              <w:pStyle w:val="ConsPlusNormal"/>
              <w:jc w:val="both"/>
            </w:pPr>
            <w:r>
              <w:t>Сумма процентов рассчитана по формуле: сумма неосновательного обогащения x ставка Банка России (действующая в период просрочки) x количество дней просрочки / количество дней в году.</w:t>
            </w:r>
          </w:p>
          <w:p w:rsidR="00FD2B41" w:rsidRDefault="00FD2B41">
            <w:pPr>
              <w:pStyle w:val="ConsPlusNormal"/>
              <w:jc w:val="both"/>
            </w:pPr>
          </w:p>
          <w:tbl>
            <w:tblPr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22"/>
              <w:gridCol w:w="4513"/>
            </w:tblGrid>
            <w:tr w:rsidR="00FD2B41"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2B41" w:rsidRDefault="00FD2B41">
                  <w:pPr>
                    <w:pStyle w:val="ConsPlusNormal"/>
                  </w:pPr>
                  <w:r>
                    <w:t>Директор ООО "Альфа"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2B41" w:rsidRDefault="00FD2B41">
                  <w:pPr>
                    <w:pStyle w:val="ConsPlusNormal"/>
                    <w:jc w:val="right"/>
                  </w:pPr>
                  <w:r>
                    <w:t>________________/А.А. Сергеев/</w:t>
                  </w:r>
                </w:p>
              </w:tc>
            </w:tr>
          </w:tbl>
          <w:p w:rsidR="00FD2B41" w:rsidRDefault="00FD2B41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41" w:rsidRDefault="00FD2B41">
            <w:pPr>
              <w:pStyle w:val="ConsPlusNormal"/>
            </w:pPr>
          </w:p>
        </w:tc>
      </w:tr>
    </w:tbl>
    <w:p w:rsidR="00FD2B41" w:rsidRDefault="00FD2B41">
      <w:pPr>
        <w:pStyle w:val="ConsPlusNormal"/>
        <w:jc w:val="both"/>
      </w:pPr>
    </w:p>
    <w:p w:rsidR="00FD2B41" w:rsidRDefault="00FD2B41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8575"/>
        <w:gridCol w:w="180"/>
      </w:tblGrid>
      <w:tr w:rsidR="00FD2B41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2B41" w:rsidRDefault="00FD2B41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D2B41" w:rsidRDefault="00FD2B41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D2B41" w:rsidRDefault="00FD2B41">
            <w:pPr>
              <w:pStyle w:val="ConsPlusNormal"/>
              <w:jc w:val="both"/>
            </w:pPr>
            <w:r>
              <w:t>См. также:</w:t>
            </w:r>
          </w:p>
          <w:p w:rsidR="00FD2B41" w:rsidRDefault="00FD2B41">
            <w:pPr>
              <w:pStyle w:val="ConsPlusNormal"/>
              <w:numPr>
                <w:ilvl w:val="0"/>
                <w:numId w:val="4"/>
              </w:numPr>
              <w:jc w:val="both"/>
            </w:pPr>
            <w:hyperlink r:id="rId48">
              <w:r>
                <w:rPr>
                  <w:color w:val="0000FF"/>
                </w:rPr>
                <w:t>Как составить исковое заявление в суд общей юрисдикции о взыскании неосновательного обогащения</w:t>
              </w:r>
            </w:hyperlink>
          </w:p>
          <w:p w:rsidR="00FD2B41" w:rsidRDefault="00FD2B41">
            <w:pPr>
              <w:pStyle w:val="ConsPlusNormal"/>
              <w:numPr>
                <w:ilvl w:val="0"/>
                <w:numId w:val="4"/>
              </w:numPr>
              <w:jc w:val="both"/>
            </w:pPr>
            <w:hyperlink r:id="rId49">
              <w:r>
                <w:rPr>
                  <w:color w:val="0000FF"/>
                </w:rPr>
                <w:t>Как подать иск о взыскании неосновательного обогащения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2B41" w:rsidRDefault="00FD2B41">
            <w:pPr>
              <w:pStyle w:val="ConsPlusNormal"/>
            </w:pPr>
          </w:p>
        </w:tc>
      </w:tr>
    </w:tbl>
    <w:p w:rsidR="00FD2B41" w:rsidRDefault="00FD2B41">
      <w:pPr>
        <w:pStyle w:val="ConsPlusNormal"/>
        <w:jc w:val="both"/>
      </w:pPr>
    </w:p>
    <w:p w:rsidR="00FD2B41" w:rsidRDefault="00FD2B41">
      <w:pPr>
        <w:pStyle w:val="ConsPlusNormal"/>
        <w:jc w:val="both"/>
      </w:pPr>
    </w:p>
    <w:p w:rsidR="00FD2B41" w:rsidRDefault="00FD2B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2B41" w:rsidRDefault="00FD2B41">
      <w:pPr>
        <w:pStyle w:val="ConsPlusNormal"/>
        <w:sectPr w:rsidR="00FD2B41" w:rsidSect="008701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2B41" w:rsidRDefault="00FD2B41"/>
    <w:p w:rsidR="000C53BD" w:rsidRDefault="000C53BD">
      <w:bookmarkStart w:id="0" w:name="_GoBack"/>
      <w:bookmarkEnd w:id="0"/>
    </w:p>
    <w:sectPr w:rsidR="000C5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2162"/>
    <w:multiLevelType w:val="multilevel"/>
    <w:tmpl w:val="D882982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CC3169"/>
    <w:multiLevelType w:val="multilevel"/>
    <w:tmpl w:val="7AE2B7B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083A8A"/>
    <w:multiLevelType w:val="multilevel"/>
    <w:tmpl w:val="F88819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3535B8"/>
    <w:multiLevelType w:val="multilevel"/>
    <w:tmpl w:val="0E1CB6E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41"/>
    <w:rsid w:val="000C53BD"/>
    <w:rsid w:val="00FD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2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D2B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2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D2B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2317&amp;dst=100672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s://login.consultant.ru/link/?req=doc&amp;base=LAW&amp;n=509490" TargetMode="External"/><Relationship Id="rId39" Type="http://schemas.openxmlformats.org/officeDocument/2006/relationships/hyperlink" Target="https://login.consultant.ru/link/?req=doc&amp;base=LAW&amp;n=502317&amp;dst=10009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502317&amp;dst=100122" TargetMode="External"/><Relationship Id="rId34" Type="http://schemas.openxmlformats.org/officeDocument/2006/relationships/hyperlink" Target="https://login.consultant.ru/link/?req=doc&amp;base=LAW&amp;n=12453&amp;dst=100163" TargetMode="External"/><Relationship Id="rId42" Type="http://schemas.openxmlformats.org/officeDocument/2006/relationships/hyperlink" Target="https://login.consultant.ru/link/?req=doc&amp;base=LAW&amp;n=502317&amp;dst=100643" TargetMode="External"/><Relationship Id="rId47" Type="http://schemas.openxmlformats.org/officeDocument/2006/relationships/image" Target="media/image2.png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8490&amp;dst=10938" TargetMode="External"/><Relationship Id="rId12" Type="http://schemas.openxmlformats.org/officeDocument/2006/relationships/hyperlink" Target="https://login.consultant.ru/link/?req=doc&amp;base=LAW&amp;n=502317&amp;dst=100643" TargetMode="External"/><Relationship Id="rId17" Type="http://schemas.openxmlformats.org/officeDocument/2006/relationships/hyperlink" Target="https://login.consultant.ru/link/?req=doc&amp;base=LAW&amp;n=502317&amp;dst=100642" TargetMode="External"/><Relationship Id="rId25" Type="http://schemas.openxmlformats.org/officeDocument/2006/relationships/hyperlink" Target="https://login.consultant.ru/link/?req=doc&amp;base=LAW&amp;n=495706&amp;dst=20515" TargetMode="External"/><Relationship Id="rId33" Type="http://schemas.openxmlformats.org/officeDocument/2006/relationships/hyperlink" Target="https://login.consultant.ru/link/?req=doc&amp;base=LAW&amp;n=508490&amp;dst=10938" TargetMode="External"/><Relationship Id="rId38" Type="http://schemas.openxmlformats.org/officeDocument/2006/relationships/hyperlink" Target="https://login.consultant.ru/link/?req=doc&amp;base=LAW&amp;n=508506&amp;dst=102790" TargetMode="External"/><Relationship Id="rId46" Type="http://schemas.openxmlformats.org/officeDocument/2006/relationships/hyperlink" Target="https://login.consultant.ru/link/?req=doc&amp;base=LAW&amp;n=508490&amp;dst=1018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2317&amp;dst=1947" TargetMode="External"/><Relationship Id="rId20" Type="http://schemas.openxmlformats.org/officeDocument/2006/relationships/hyperlink" Target="https://login.consultant.ru/link/?req=doc&amp;base=LAW&amp;n=502317&amp;dst=1187" TargetMode="External"/><Relationship Id="rId29" Type="http://schemas.openxmlformats.org/officeDocument/2006/relationships/hyperlink" Target="https://login.consultant.ru/link/?req=doc&amp;base=LAW&amp;n=508490&amp;dst=10852" TargetMode="External"/><Relationship Id="rId41" Type="http://schemas.openxmlformats.org/officeDocument/2006/relationships/hyperlink" Target="https://login.consultant.ru/link/?req=doc&amp;base=LAW&amp;n=502317&amp;dst=1006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https://login.consultant.ru/link/?req=doc&amp;base=LAW&amp;n=502317&amp;dst=100628" TargetMode="External"/><Relationship Id="rId24" Type="http://schemas.openxmlformats.org/officeDocument/2006/relationships/hyperlink" Target="https://login.consultant.ru/link/?req=doc&amp;base=LAW&amp;n=495617&amp;dst=6252" TargetMode="External"/><Relationship Id="rId32" Type="http://schemas.openxmlformats.org/officeDocument/2006/relationships/hyperlink" Target="https://login.consultant.ru/link/?req=doc&amp;base=LAW&amp;n=508506&amp;dst=102790" TargetMode="External"/><Relationship Id="rId37" Type="http://schemas.openxmlformats.org/officeDocument/2006/relationships/hyperlink" Target="https://login.consultant.ru/link/?req=doc&amp;base=LAW&amp;n=508506&amp;dst=102778" TargetMode="External"/><Relationship Id="rId40" Type="http://schemas.openxmlformats.org/officeDocument/2006/relationships/hyperlink" Target="https://login.consultant.ru/link/?req=doc&amp;base=LAW&amp;n=502317&amp;dst=100110" TargetMode="External"/><Relationship Id="rId45" Type="http://schemas.openxmlformats.org/officeDocument/2006/relationships/hyperlink" Target="https://login.consultant.ru/link/?req=doc&amp;base=LAW&amp;n=502317&amp;dst=1004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05386&amp;dst=100383" TargetMode="External"/><Relationship Id="rId23" Type="http://schemas.openxmlformats.org/officeDocument/2006/relationships/hyperlink" Target="https://login.consultant.ru/link/?req=doc&amp;base=LAW&amp;n=495706&amp;dst=26562" TargetMode="External"/><Relationship Id="rId28" Type="http://schemas.openxmlformats.org/officeDocument/2006/relationships/hyperlink" Target="https://login.consultant.ru/link/?req=doc&amp;base=LAW&amp;n=508506&amp;dst=101079" TargetMode="External"/><Relationship Id="rId36" Type="http://schemas.openxmlformats.org/officeDocument/2006/relationships/hyperlink" Target="https://login.consultant.ru/link/?req=doc&amp;base=LAW&amp;n=508506&amp;dst=102772" TargetMode="External"/><Relationship Id="rId49" Type="http://schemas.openxmlformats.org/officeDocument/2006/relationships/hyperlink" Target="https://login.consultant.ru/link/?req=doc&amp;base=CJI&amp;n=112643&amp;dst=100074" TargetMode="External"/><Relationship Id="rId10" Type="http://schemas.openxmlformats.org/officeDocument/2006/relationships/hyperlink" Target="https://login.consultant.ru/link/?req=doc&amp;base=LAW&amp;n=502317&amp;dst=100628" TargetMode="External"/><Relationship Id="rId19" Type="http://schemas.openxmlformats.org/officeDocument/2006/relationships/hyperlink" Target="https://login.consultant.ru/link/?req=doc&amp;base=LAW&amp;n=502317&amp;dst=1186" TargetMode="External"/><Relationship Id="rId31" Type="http://schemas.openxmlformats.org/officeDocument/2006/relationships/hyperlink" Target="https://login.consultant.ru/link/?req=doc&amp;base=LAW&amp;n=508506&amp;dst=102778" TargetMode="External"/><Relationship Id="rId44" Type="http://schemas.openxmlformats.org/officeDocument/2006/relationships/hyperlink" Target="https://login.consultant.ru/link/?req=doc&amp;base=LAW&amp;n=502317&amp;dst=1004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506&amp;dst=102790" TargetMode="External"/><Relationship Id="rId14" Type="http://schemas.openxmlformats.org/officeDocument/2006/relationships/hyperlink" Target="https://login.consultant.ru/link/?req=doc&amp;base=LAW&amp;n=502317&amp;dst=1947" TargetMode="External"/><Relationship Id="rId22" Type="http://schemas.openxmlformats.org/officeDocument/2006/relationships/hyperlink" Target="https://login.consultant.ru/link/?req=doc&amp;base=LAW&amp;n=502317&amp;dst=100142" TargetMode="External"/><Relationship Id="rId27" Type="http://schemas.openxmlformats.org/officeDocument/2006/relationships/hyperlink" Target="https://login.consultant.ru/link/?req=doc&amp;base=LAW&amp;n=509490&amp;dst=100011" TargetMode="External"/><Relationship Id="rId30" Type="http://schemas.openxmlformats.org/officeDocument/2006/relationships/hyperlink" Target="https://login.consultant.ru/link/?req=doc&amp;base=LAW&amp;n=508506&amp;dst=102772" TargetMode="External"/><Relationship Id="rId35" Type="http://schemas.openxmlformats.org/officeDocument/2006/relationships/hyperlink" Target="https://login.consultant.ru/link/?req=doc&amp;base=LAW&amp;n=508490&amp;dst=10938" TargetMode="External"/><Relationship Id="rId43" Type="http://schemas.openxmlformats.org/officeDocument/2006/relationships/hyperlink" Target="https://login.consultant.ru/link/?req=doc&amp;base=LAW&amp;n=502317&amp;dst=100453" TargetMode="External"/><Relationship Id="rId48" Type="http://schemas.openxmlformats.org/officeDocument/2006/relationships/hyperlink" Target="https://login.consultant.ru/link/?req=doc&amp;base=CJI&amp;n=112644" TargetMode="External"/><Relationship Id="rId8" Type="http://schemas.openxmlformats.org/officeDocument/2006/relationships/hyperlink" Target="https://login.consultant.ru/link/?req=doc&amp;base=LAW&amp;n=508506&amp;dst=102772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2026-02-16T02:59:00Z</dcterms:created>
  <dcterms:modified xsi:type="dcterms:W3CDTF">2026-02-16T02:59:00Z</dcterms:modified>
</cp:coreProperties>
</file>