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814" w:rsidRPr="00F03F52" w:rsidRDefault="00F03F52" w:rsidP="00F03F52">
      <w:pPr>
        <w:jc w:val="center"/>
        <w:rPr>
          <w:b/>
          <w:bCs/>
          <w:color w:val="000000"/>
          <w:shd w:val="clear" w:color="auto" w:fill="FFFFFF"/>
        </w:rPr>
      </w:pPr>
      <w:r w:rsidRPr="00F03F52">
        <w:rPr>
          <w:b/>
          <w:bCs/>
          <w:color w:val="000000"/>
          <w:shd w:val="clear" w:color="auto" w:fill="FFFFFF"/>
        </w:rPr>
        <w:t>Информация по работе с лицевым (депозитным) счетом для учета операций со средствами, поступающими во временное распоряжение Управления</w:t>
      </w:r>
    </w:p>
    <w:p w:rsidR="00F03F52" w:rsidRPr="00F03F52" w:rsidRDefault="00F03F52" w:rsidP="00F03F52">
      <w:pPr>
        <w:jc w:val="center"/>
        <w:rPr>
          <w:b/>
          <w:bCs/>
          <w:color w:val="000000"/>
          <w:shd w:val="clear" w:color="auto" w:fill="FFFFFF"/>
        </w:rPr>
      </w:pPr>
    </w:p>
    <w:p w:rsidR="00F03F52" w:rsidRPr="00F03F52" w:rsidRDefault="00F03F52" w:rsidP="00F03F52">
      <w:pPr>
        <w:pStyle w:val="a3"/>
        <w:spacing w:before="0" w:beforeAutospacing="0" w:after="0" w:afterAutospacing="0"/>
        <w:jc w:val="both"/>
        <w:rPr>
          <w:color w:val="000000"/>
        </w:rPr>
      </w:pPr>
      <w:r w:rsidRPr="00F03F52">
        <w:rPr>
          <w:color w:val="000000"/>
        </w:rPr>
        <w:t> </w:t>
      </w:r>
      <w:proofErr w:type="gramStart"/>
      <w:r w:rsidRPr="00F03F52">
        <w:rPr>
          <w:color w:val="000000"/>
        </w:rPr>
        <w:t>В целях реализации положений </w:t>
      </w:r>
      <w:hyperlink r:id="rId5" w:history="1">
        <w:r w:rsidRPr="00F03F52">
          <w:rPr>
            <w:rStyle w:val="a4"/>
            <w:color w:val="0066CC"/>
          </w:rPr>
          <w:t>статьи 106</w:t>
        </w:r>
      </w:hyperlink>
      <w:r w:rsidRPr="00F03F52">
        <w:rPr>
          <w:color w:val="000000"/>
        </w:rPr>
        <w:t> Уголовно-процессуального кодекса Российской Федерации, </w:t>
      </w:r>
      <w:hyperlink r:id="rId6" w:history="1">
        <w:r w:rsidRPr="00F03F52">
          <w:rPr>
            <w:rStyle w:val="a4"/>
            <w:color w:val="0066CC"/>
          </w:rPr>
          <w:t>статей 96</w:t>
        </w:r>
      </w:hyperlink>
      <w:r w:rsidRPr="00F03F52">
        <w:rPr>
          <w:color w:val="000000"/>
        </w:rPr>
        <w:t>, </w:t>
      </w:r>
      <w:hyperlink r:id="rId7" w:history="1">
        <w:r w:rsidRPr="00F03F52">
          <w:rPr>
            <w:rStyle w:val="a4"/>
            <w:color w:val="0066CC"/>
          </w:rPr>
          <w:t>97</w:t>
        </w:r>
      </w:hyperlink>
      <w:r w:rsidRPr="00F03F52">
        <w:rPr>
          <w:color w:val="000000"/>
        </w:rPr>
        <w:t>, </w:t>
      </w:r>
      <w:hyperlink r:id="rId8" w:history="1">
        <w:r w:rsidRPr="00F03F52">
          <w:rPr>
            <w:rStyle w:val="a4"/>
            <w:color w:val="0066CC"/>
          </w:rPr>
          <w:t>143</w:t>
        </w:r>
      </w:hyperlink>
      <w:r w:rsidRPr="00F03F52">
        <w:rPr>
          <w:color w:val="000000"/>
        </w:rPr>
        <w:t> Гражданского процессуального кодекса Российской Федерации, </w:t>
      </w:r>
      <w:hyperlink r:id="rId9" w:history="1">
        <w:r w:rsidRPr="00F03F52">
          <w:rPr>
            <w:rStyle w:val="a4"/>
            <w:color w:val="0066CC"/>
          </w:rPr>
          <w:t>статей 109</w:t>
        </w:r>
      </w:hyperlink>
      <w:r w:rsidRPr="00F03F52">
        <w:rPr>
          <w:color w:val="000000"/>
        </w:rPr>
        <w:t>, </w:t>
      </w:r>
      <w:hyperlink r:id="rId10" w:history="1">
        <w:r w:rsidRPr="00F03F52">
          <w:rPr>
            <w:rStyle w:val="a4"/>
            <w:color w:val="0066CC"/>
          </w:rPr>
          <w:t>110</w:t>
        </w:r>
      </w:hyperlink>
      <w:r w:rsidRPr="00F03F52">
        <w:rPr>
          <w:color w:val="000000"/>
        </w:rPr>
        <w:t>, </w:t>
      </w:r>
      <w:hyperlink r:id="rId11" w:history="1">
        <w:r w:rsidRPr="00F03F52">
          <w:rPr>
            <w:rStyle w:val="a4"/>
            <w:color w:val="0066CC"/>
          </w:rPr>
          <w:t>114</w:t>
        </w:r>
      </w:hyperlink>
      <w:r w:rsidRPr="00F03F52">
        <w:rPr>
          <w:color w:val="000000"/>
        </w:rPr>
        <w:t> Кодекса административного судопроизводства Р</w:t>
      </w:r>
      <w:bookmarkStart w:id="0" w:name="_GoBack"/>
      <w:bookmarkEnd w:id="0"/>
      <w:r w:rsidRPr="00F03F52">
        <w:rPr>
          <w:color w:val="000000"/>
        </w:rPr>
        <w:t>оссийской Федерации, </w:t>
      </w:r>
      <w:hyperlink r:id="rId12" w:history="1">
        <w:r w:rsidRPr="00F03F52">
          <w:rPr>
            <w:rStyle w:val="a4"/>
            <w:color w:val="0066CC"/>
          </w:rPr>
          <w:t>статьи 27.18</w:t>
        </w:r>
      </w:hyperlink>
      <w:r w:rsidRPr="00F03F52">
        <w:rPr>
          <w:color w:val="000000"/>
        </w:rPr>
        <w:t> Кодекса об административных правонарушениях Российской Федерации,</w:t>
      </w:r>
      <w:proofErr w:type="gramEnd"/>
      <w:r w:rsidRPr="00F03F52">
        <w:rPr>
          <w:color w:val="000000"/>
        </w:rPr>
        <w:t> </w:t>
      </w:r>
      <w:hyperlink r:id="rId13" w:history="1">
        <w:r w:rsidRPr="00F03F52">
          <w:rPr>
            <w:rStyle w:val="a4"/>
            <w:color w:val="0066CC"/>
          </w:rPr>
          <w:t>постановления</w:t>
        </w:r>
      </w:hyperlink>
      <w:r w:rsidRPr="00F03F52">
        <w:rPr>
          <w:color w:val="000000"/>
        </w:rPr>
        <w:t> Правительства Российской Федерации от 1 декабря 2012 г. N 1240 "О порядке и размере возмещения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 Судебным департаментом при Верховном Суде РФ разработан Регламент организации деятельности федеральных судов и управлений Судебного 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 утвержденный приказом Судебного департамента при Верховном Суде РФ от 05.11.2015 N 345 (далее – Регламент).</w:t>
      </w:r>
    </w:p>
    <w:p w:rsidR="00F03F52" w:rsidRPr="00F03F52" w:rsidRDefault="00F03F52" w:rsidP="00F03F52">
      <w:pPr>
        <w:pStyle w:val="a3"/>
        <w:spacing w:before="0" w:beforeAutospacing="0" w:after="0" w:afterAutospacing="0"/>
        <w:jc w:val="both"/>
        <w:rPr>
          <w:color w:val="000000"/>
        </w:rPr>
      </w:pPr>
      <w:r w:rsidRPr="00F03F52">
        <w:rPr>
          <w:color w:val="000000"/>
        </w:rPr>
        <w:t>      Согласно Регламенту на лицевой (депозитный) счет Управления для учета операций с денежными средствами, поступающими во временное распоряжение, вносятся, в том числе:</w:t>
      </w:r>
    </w:p>
    <w:p w:rsidR="00F03F52" w:rsidRPr="00F03F52" w:rsidRDefault="00F03F52" w:rsidP="00F03F52">
      <w:pPr>
        <w:pStyle w:val="a3"/>
        <w:spacing w:before="0" w:beforeAutospacing="0" w:after="0" w:afterAutospacing="0"/>
        <w:jc w:val="both"/>
        <w:rPr>
          <w:color w:val="000000"/>
        </w:rPr>
      </w:pPr>
      <w:r w:rsidRPr="00F03F52">
        <w:rPr>
          <w:color w:val="000000"/>
        </w:rPr>
        <w:t>- денежные средства, являющиеся предметом залога;</w:t>
      </w:r>
    </w:p>
    <w:p w:rsidR="00F03F52" w:rsidRPr="00F03F52" w:rsidRDefault="00F03F52" w:rsidP="00F03F52">
      <w:pPr>
        <w:pStyle w:val="a3"/>
        <w:spacing w:before="0" w:beforeAutospacing="0" w:after="0" w:afterAutospacing="0"/>
        <w:jc w:val="both"/>
        <w:rPr>
          <w:color w:val="000000"/>
        </w:rPr>
      </w:pPr>
      <w:r w:rsidRPr="00F03F52">
        <w:rPr>
          <w:color w:val="000000"/>
        </w:rPr>
        <w:t>- денежные средства взамен принятых судом мер по обеспечению иска (вносятся ответчиками);</w:t>
      </w:r>
    </w:p>
    <w:p w:rsidR="00F03F52" w:rsidRPr="00F03F52" w:rsidRDefault="00F03F52" w:rsidP="00F03F52">
      <w:pPr>
        <w:pStyle w:val="a3"/>
        <w:spacing w:before="0" w:beforeAutospacing="0" w:after="0" w:afterAutospacing="0"/>
        <w:jc w:val="both"/>
        <w:rPr>
          <w:color w:val="000000"/>
        </w:rPr>
      </w:pPr>
      <w:r w:rsidRPr="00F03F52">
        <w:rPr>
          <w:color w:val="000000"/>
        </w:rPr>
        <w:t>- денежные средства для обеспечения возмещения судебных издержек, связанных с рассмотрением гражданского дела или административного дела.</w:t>
      </w:r>
    </w:p>
    <w:p w:rsidR="00F03F52" w:rsidRPr="00F03F52" w:rsidRDefault="00F03F52" w:rsidP="00F03F52">
      <w:pPr>
        <w:pStyle w:val="a3"/>
        <w:spacing w:before="0" w:beforeAutospacing="0" w:after="0" w:afterAutospacing="0"/>
        <w:jc w:val="both"/>
        <w:rPr>
          <w:color w:val="000000"/>
        </w:rPr>
      </w:pPr>
      <w:r w:rsidRPr="00F03F52">
        <w:rPr>
          <w:color w:val="000000"/>
        </w:rPr>
        <w:t>      Внесение на лицевой (депозитный) счет Управления государственной пошлины законодательством не предусмотрено.</w:t>
      </w:r>
    </w:p>
    <w:p w:rsidR="00F03F52" w:rsidRPr="00F03F52" w:rsidRDefault="00F03F52" w:rsidP="00F03F52">
      <w:pPr>
        <w:pStyle w:val="a3"/>
        <w:spacing w:before="0" w:beforeAutospacing="0" w:after="0" w:afterAutospacing="0"/>
        <w:jc w:val="both"/>
        <w:rPr>
          <w:color w:val="000000"/>
        </w:rPr>
      </w:pPr>
      <w:r w:rsidRPr="00F03F52">
        <w:rPr>
          <w:color w:val="000000"/>
        </w:rPr>
        <w:t>      Внесение денежных средств, перечисляемых юридическими лицами, осуществляется по платежным поручениям.</w:t>
      </w:r>
    </w:p>
    <w:p w:rsidR="00F03F52" w:rsidRPr="00F03F52" w:rsidRDefault="00F03F52" w:rsidP="00F03F52">
      <w:pPr>
        <w:pStyle w:val="a3"/>
        <w:spacing w:before="0" w:beforeAutospacing="0" w:after="0" w:afterAutospacing="0"/>
        <w:jc w:val="both"/>
        <w:rPr>
          <w:color w:val="000000"/>
        </w:rPr>
      </w:pPr>
      <w:r w:rsidRPr="00F03F52">
        <w:rPr>
          <w:color w:val="000000"/>
        </w:rPr>
        <w:t>      Внесение денежных сре</w:t>
      </w:r>
      <w:proofErr w:type="gramStart"/>
      <w:r w:rsidRPr="00F03F52">
        <w:rPr>
          <w:color w:val="000000"/>
        </w:rPr>
        <w:t>дств гр</w:t>
      </w:r>
      <w:proofErr w:type="gramEnd"/>
      <w:r w:rsidRPr="00F03F52">
        <w:rPr>
          <w:color w:val="000000"/>
        </w:rPr>
        <w:t>ажданами, осуществляющими предпринимательскую деятельность без образования юридического лица, имеющими статус индивидуального предпринимателя, или гражданами, не имеющими статуса индивидуального предпринимателя (физические лица) и осуществляющими оплату без открытия банковского счета, производится через банк по установленной банком платежной форме документа.</w:t>
      </w:r>
    </w:p>
    <w:p w:rsidR="00F03F52" w:rsidRPr="00F03F52" w:rsidRDefault="00F03F52" w:rsidP="00F03F52">
      <w:pPr>
        <w:pStyle w:val="a3"/>
        <w:spacing w:before="0" w:beforeAutospacing="0" w:after="0" w:afterAutospacing="0"/>
        <w:jc w:val="both"/>
        <w:rPr>
          <w:color w:val="000000"/>
        </w:rPr>
      </w:pPr>
      <w:r w:rsidRPr="00F03F52">
        <w:rPr>
          <w:color w:val="000000"/>
        </w:rPr>
        <w:t>      В платежном документе указываются:</w:t>
      </w:r>
    </w:p>
    <w:p w:rsidR="00F03F52" w:rsidRPr="00F03F52" w:rsidRDefault="00F03F52" w:rsidP="00F03F52">
      <w:pPr>
        <w:pStyle w:val="a3"/>
        <w:spacing w:before="0" w:beforeAutospacing="0" w:after="0" w:afterAutospacing="0"/>
        <w:jc w:val="both"/>
        <w:rPr>
          <w:color w:val="000000"/>
        </w:rPr>
      </w:pPr>
      <w:r w:rsidRPr="00F03F52">
        <w:rPr>
          <w:color w:val="000000"/>
        </w:rPr>
        <w:t>- фамилия, имя, отчество (при наличии) плательщика (наименование юридического лица);</w:t>
      </w:r>
    </w:p>
    <w:p w:rsidR="00F03F52" w:rsidRPr="00F03F52" w:rsidRDefault="00F03F52" w:rsidP="00F03F52">
      <w:pPr>
        <w:pStyle w:val="a3"/>
        <w:spacing w:before="0" w:beforeAutospacing="0" w:after="0" w:afterAutospacing="0"/>
        <w:jc w:val="both"/>
        <w:rPr>
          <w:color w:val="000000"/>
        </w:rPr>
      </w:pPr>
      <w:r w:rsidRPr="00F03F52">
        <w:rPr>
          <w:color w:val="000000"/>
        </w:rPr>
        <w:t>- идентификатор: для физических лиц - страховой номер индивидуального лицевого счета или идентификационный номер налогоплательщика, для индивидуальных предпринимателей и юридических лиц - идентификационный номер налогоплательщика (при наличии);</w:t>
      </w:r>
    </w:p>
    <w:p w:rsidR="00F03F52" w:rsidRPr="00F03F52" w:rsidRDefault="00F03F52" w:rsidP="00F03F52">
      <w:pPr>
        <w:pStyle w:val="a3"/>
        <w:spacing w:before="0" w:beforeAutospacing="0" w:after="0" w:afterAutospacing="0"/>
        <w:jc w:val="both"/>
        <w:rPr>
          <w:color w:val="000000"/>
        </w:rPr>
      </w:pPr>
      <w:r w:rsidRPr="00F03F52">
        <w:rPr>
          <w:color w:val="000000"/>
        </w:rPr>
        <w:t>- наименование суда;</w:t>
      </w:r>
    </w:p>
    <w:p w:rsidR="00F03F52" w:rsidRPr="00F03F52" w:rsidRDefault="00F03F52" w:rsidP="00F03F52">
      <w:pPr>
        <w:pStyle w:val="a3"/>
        <w:spacing w:before="0" w:beforeAutospacing="0" w:after="0" w:afterAutospacing="0"/>
        <w:jc w:val="both"/>
        <w:rPr>
          <w:color w:val="000000"/>
        </w:rPr>
      </w:pPr>
      <w:r w:rsidRPr="00F03F52">
        <w:rPr>
          <w:color w:val="000000"/>
        </w:rPr>
        <w:t>- номер судебного дела (при наличии);</w:t>
      </w:r>
    </w:p>
    <w:p w:rsidR="00F03F52" w:rsidRPr="00F03F52" w:rsidRDefault="00F03F52" w:rsidP="00F03F52">
      <w:pPr>
        <w:pStyle w:val="a3"/>
        <w:spacing w:before="0" w:beforeAutospacing="0" w:after="0" w:afterAutospacing="0"/>
        <w:jc w:val="both"/>
        <w:rPr>
          <w:color w:val="000000"/>
        </w:rPr>
      </w:pPr>
      <w:r w:rsidRPr="00F03F52">
        <w:rPr>
          <w:color w:val="000000"/>
        </w:rPr>
        <w:t>- назначение платежа (например, оплата залога за Андреева А.А., по заявлению о признании Андреева А.А. банкротом и другое);</w:t>
      </w:r>
    </w:p>
    <w:p w:rsidR="00F03F52" w:rsidRPr="00F03F52" w:rsidRDefault="00F03F52" w:rsidP="00F03F52">
      <w:pPr>
        <w:pStyle w:val="a3"/>
        <w:spacing w:before="0" w:beforeAutospacing="0" w:after="0" w:afterAutospacing="0"/>
        <w:jc w:val="both"/>
        <w:rPr>
          <w:color w:val="000000"/>
        </w:rPr>
      </w:pPr>
      <w:r w:rsidRPr="00F03F52">
        <w:rPr>
          <w:color w:val="000000"/>
        </w:rPr>
        <w:t>- код нормативно-правового акта (поле 22 "Код"), установленный перечнем федеральных законов, иных нормативных правовых актов Российской Федерации, определяющих основания для поступления, возврата или перечисления средств, поступающих во временное распоряжение получателей средств федерального бюджета, утверждаемым Федеральным казначейством.</w:t>
      </w:r>
    </w:p>
    <w:p w:rsidR="00F03F52" w:rsidRPr="00F03F52" w:rsidRDefault="00F03F52" w:rsidP="00F03F52">
      <w:pPr>
        <w:pStyle w:val="a3"/>
        <w:spacing w:before="0" w:beforeAutospacing="0" w:after="0" w:afterAutospacing="0"/>
        <w:jc w:val="both"/>
        <w:rPr>
          <w:color w:val="000000"/>
        </w:rPr>
      </w:pPr>
    </w:p>
    <w:p w:rsidR="00F03F52" w:rsidRPr="00F03F52" w:rsidRDefault="00F03F52" w:rsidP="00F03F52">
      <w:pPr>
        <w:pStyle w:val="a3"/>
        <w:spacing w:before="0" w:beforeAutospacing="0" w:after="0" w:afterAutospacing="0"/>
        <w:jc w:val="both"/>
        <w:rPr>
          <w:color w:val="000000"/>
        </w:rPr>
      </w:pPr>
      <w:r w:rsidRPr="00F03F52">
        <w:rPr>
          <w:color w:val="000000"/>
        </w:rPr>
        <w:t>      Реквизиты лицевого (депозитного) счета Управления:</w:t>
      </w:r>
    </w:p>
    <w:p w:rsidR="00F03F52" w:rsidRPr="00F03F52" w:rsidRDefault="00F03F52" w:rsidP="00F03F52">
      <w:pPr>
        <w:pStyle w:val="a3"/>
        <w:spacing w:before="0" w:beforeAutospacing="0" w:after="0" w:afterAutospacing="0"/>
        <w:jc w:val="both"/>
        <w:rPr>
          <w:color w:val="000000"/>
        </w:rPr>
      </w:pPr>
    </w:p>
    <w:p w:rsidR="00F03F52" w:rsidRPr="00F03F52" w:rsidRDefault="00F03F52" w:rsidP="00F03F52">
      <w:pPr>
        <w:pStyle w:val="a3"/>
        <w:spacing w:before="0" w:beforeAutospacing="0" w:after="0" w:afterAutospacing="0"/>
        <w:jc w:val="both"/>
        <w:rPr>
          <w:color w:val="000000"/>
        </w:rPr>
      </w:pPr>
      <w:r w:rsidRPr="00F03F52">
        <w:rPr>
          <w:color w:val="000000"/>
        </w:rPr>
        <w:t> </w:t>
      </w:r>
      <w:r w:rsidRPr="00F03F52">
        <w:rPr>
          <w:color w:val="000000"/>
        </w:rPr>
        <w:t>Наименование получателя: УФК по Самарской области (Управление Судебного департамента в Самарской области л/счет 05421190930)</w:t>
      </w:r>
    </w:p>
    <w:p w:rsidR="00F03F52" w:rsidRPr="00F03F52" w:rsidRDefault="00F03F52" w:rsidP="00F03F52">
      <w:pPr>
        <w:pStyle w:val="a3"/>
        <w:spacing w:before="0" w:beforeAutospacing="0" w:after="0" w:afterAutospacing="0"/>
        <w:jc w:val="both"/>
        <w:rPr>
          <w:color w:val="000000"/>
        </w:rPr>
      </w:pPr>
      <w:r w:rsidRPr="00F03F52">
        <w:rPr>
          <w:color w:val="000000"/>
        </w:rPr>
        <w:t>ИНН 6315800749</w:t>
      </w:r>
    </w:p>
    <w:p w:rsidR="00F03F52" w:rsidRPr="00F03F52" w:rsidRDefault="00F03F52" w:rsidP="00F03F52">
      <w:pPr>
        <w:pStyle w:val="a3"/>
        <w:spacing w:before="0" w:beforeAutospacing="0" w:after="0" w:afterAutospacing="0"/>
        <w:jc w:val="both"/>
        <w:rPr>
          <w:color w:val="000000"/>
        </w:rPr>
      </w:pPr>
      <w:r w:rsidRPr="00F03F52">
        <w:rPr>
          <w:color w:val="000000"/>
        </w:rPr>
        <w:t>КПП 631101001</w:t>
      </w:r>
    </w:p>
    <w:p w:rsidR="00F03F52" w:rsidRPr="00F03F52" w:rsidRDefault="00F03F52" w:rsidP="00F03F52">
      <w:pPr>
        <w:pStyle w:val="a3"/>
        <w:spacing w:before="0" w:beforeAutospacing="0" w:after="0" w:afterAutospacing="0"/>
        <w:jc w:val="both"/>
        <w:rPr>
          <w:color w:val="000000"/>
        </w:rPr>
      </w:pPr>
      <w:r w:rsidRPr="00F03F52">
        <w:rPr>
          <w:color w:val="000000"/>
        </w:rPr>
        <w:t>Казначейский счет: 03212643000000014200</w:t>
      </w:r>
    </w:p>
    <w:p w:rsidR="00F03F52" w:rsidRPr="00F03F52" w:rsidRDefault="00F03F52" w:rsidP="00F03F52">
      <w:pPr>
        <w:pStyle w:val="a3"/>
        <w:spacing w:before="0" w:beforeAutospacing="0" w:after="0" w:afterAutospacing="0"/>
        <w:jc w:val="both"/>
        <w:rPr>
          <w:color w:val="000000"/>
        </w:rPr>
      </w:pPr>
      <w:r w:rsidRPr="00F03F52">
        <w:rPr>
          <w:color w:val="000000"/>
        </w:rPr>
        <w:t>Наименование банка получателя: Отделение Самара</w:t>
      </w:r>
    </w:p>
    <w:p w:rsidR="00F03F52" w:rsidRPr="00F03F52" w:rsidRDefault="00F03F52" w:rsidP="00F03F52">
      <w:pPr>
        <w:pStyle w:val="a3"/>
        <w:spacing w:before="0" w:beforeAutospacing="0" w:after="0" w:afterAutospacing="0"/>
        <w:jc w:val="both"/>
        <w:rPr>
          <w:color w:val="000000"/>
        </w:rPr>
      </w:pPr>
      <w:r w:rsidRPr="00F03F52">
        <w:rPr>
          <w:color w:val="000000"/>
        </w:rPr>
        <w:t>Единый казначейский счет: 40102810545370000036</w:t>
      </w:r>
    </w:p>
    <w:p w:rsidR="00F03F52" w:rsidRPr="00F03F52" w:rsidRDefault="00F03F52" w:rsidP="00F03F52">
      <w:pPr>
        <w:pStyle w:val="a3"/>
        <w:spacing w:before="0" w:beforeAutospacing="0" w:after="0" w:afterAutospacing="0"/>
        <w:jc w:val="both"/>
        <w:rPr>
          <w:color w:val="000000"/>
        </w:rPr>
      </w:pPr>
      <w:r w:rsidRPr="00F03F52">
        <w:rPr>
          <w:color w:val="000000"/>
        </w:rPr>
        <w:t>БИК 013601205</w:t>
      </w:r>
    </w:p>
    <w:p w:rsidR="00F03F52" w:rsidRPr="00F03F52" w:rsidRDefault="00F03F52" w:rsidP="00F03F52">
      <w:pPr>
        <w:pStyle w:val="a3"/>
        <w:spacing w:before="0" w:beforeAutospacing="0" w:after="0" w:afterAutospacing="0"/>
        <w:jc w:val="both"/>
        <w:rPr>
          <w:color w:val="000000"/>
        </w:rPr>
      </w:pPr>
      <w:r w:rsidRPr="00F03F52">
        <w:rPr>
          <w:color w:val="000000"/>
        </w:rPr>
        <w:t>Код бюджетной классификации (КБК) (поле 104) - 0</w:t>
      </w:r>
    </w:p>
    <w:p w:rsidR="00F03F52" w:rsidRPr="00F03F52" w:rsidRDefault="00F03F52" w:rsidP="00F03F52">
      <w:pPr>
        <w:pStyle w:val="a3"/>
        <w:spacing w:before="0" w:beforeAutospacing="0" w:after="0" w:afterAutospacing="0"/>
        <w:jc w:val="both"/>
        <w:rPr>
          <w:color w:val="000000"/>
        </w:rPr>
      </w:pPr>
      <w:r w:rsidRPr="00F03F52">
        <w:rPr>
          <w:color w:val="000000"/>
        </w:rPr>
        <w:t>ОКТМО 36701305</w:t>
      </w:r>
    </w:p>
    <w:p w:rsidR="00F03F52" w:rsidRPr="00F03F52" w:rsidRDefault="00F03F52" w:rsidP="00F03F52">
      <w:pPr>
        <w:pStyle w:val="a3"/>
        <w:spacing w:before="0" w:beforeAutospacing="0" w:after="0" w:afterAutospacing="0"/>
        <w:jc w:val="both"/>
        <w:rPr>
          <w:color w:val="000000"/>
        </w:rPr>
      </w:pPr>
      <w:r w:rsidRPr="00F03F52">
        <w:rPr>
          <w:color w:val="000000"/>
        </w:rPr>
        <w:t>При этом необходимо заполнять поле 22 «Код» платежного поручения:</w:t>
      </w:r>
    </w:p>
    <w:tbl>
      <w:tblPr>
        <w:tblW w:w="49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
        <w:gridCol w:w="1124"/>
        <w:gridCol w:w="3562"/>
        <w:gridCol w:w="4030"/>
      </w:tblGrid>
      <w:tr w:rsidR="00F03F52" w:rsidRPr="00F03F52" w:rsidTr="00F03F52">
        <w:tc>
          <w:tcPr>
            <w:tcW w:w="25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jc w:val="center"/>
            </w:pPr>
            <w:r w:rsidRPr="00F03F52">
              <w:t xml:space="preserve">№ </w:t>
            </w:r>
            <w:proofErr w:type="gramStart"/>
            <w:r w:rsidRPr="00F03F52">
              <w:t>п</w:t>
            </w:r>
            <w:proofErr w:type="gramEnd"/>
            <w:r w:rsidRPr="00F03F52">
              <w:t>/п</w:t>
            </w:r>
          </w:p>
        </w:tc>
        <w:tc>
          <w:tcPr>
            <w:tcW w:w="60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jc w:val="center"/>
            </w:pPr>
            <w:r w:rsidRPr="00F03F52">
              <w:t>Код НПА</w:t>
            </w:r>
          </w:p>
          <w:p w:rsidR="00F03F52" w:rsidRPr="00F03F52" w:rsidRDefault="00F03F52">
            <w:pPr>
              <w:pStyle w:val="a3"/>
              <w:spacing w:before="0" w:beforeAutospacing="0" w:after="0" w:afterAutospacing="0"/>
              <w:jc w:val="center"/>
            </w:pPr>
            <w:r w:rsidRPr="00F03F52">
              <w:t>(поле 22)</w:t>
            </w:r>
          </w:p>
        </w:tc>
        <w:tc>
          <w:tcPr>
            <w:tcW w:w="190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jc w:val="center"/>
            </w:pPr>
            <w:r w:rsidRPr="00F03F52">
              <w:t>Федеральный закон (наименование, номер, дата)</w:t>
            </w:r>
          </w:p>
        </w:tc>
        <w:tc>
          <w:tcPr>
            <w:tcW w:w="215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jc w:val="center"/>
            </w:pPr>
            <w:r w:rsidRPr="00F03F52">
              <w:t>Вид денежных средств</w:t>
            </w:r>
          </w:p>
        </w:tc>
      </w:tr>
      <w:tr w:rsidR="00F03F52" w:rsidRPr="00F03F52" w:rsidTr="00F03F52">
        <w:tc>
          <w:tcPr>
            <w:tcW w:w="25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jc w:val="center"/>
            </w:pPr>
            <w:r w:rsidRPr="00F03F52">
              <w:t>1</w:t>
            </w:r>
          </w:p>
        </w:tc>
        <w:tc>
          <w:tcPr>
            <w:tcW w:w="60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jc w:val="center"/>
            </w:pPr>
            <w:r w:rsidRPr="00F03F52">
              <w:t>0024</w:t>
            </w:r>
          </w:p>
        </w:tc>
        <w:tc>
          <w:tcPr>
            <w:tcW w:w="190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pPr>
            <w:r w:rsidRPr="00F03F52">
              <w:t>Уголовно-процессуальный кодекс Российской Федерации</w:t>
            </w:r>
          </w:p>
        </w:tc>
        <w:tc>
          <w:tcPr>
            <w:tcW w:w="215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pPr>
            <w:r w:rsidRPr="00F03F52">
              <w:t>Денежные средства, являющиеся предметом залога, денежные средства взамен 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 административного дела.</w:t>
            </w:r>
          </w:p>
        </w:tc>
      </w:tr>
      <w:tr w:rsidR="00F03F52" w:rsidRPr="00F03F52" w:rsidTr="00F03F52">
        <w:tc>
          <w:tcPr>
            <w:tcW w:w="25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jc w:val="center"/>
            </w:pPr>
            <w:r w:rsidRPr="00F03F52">
              <w:t>2</w:t>
            </w:r>
          </w:p>
        </w:tc>
        <w:tc>
          <w:tcPr>
            <w:tcW w:w="60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jc w:val="center"/>
            </w:pPr>
            <w:r w:rsidRPr="00F03F52">
              <w:t>0025</w:t>
            </w:r>
          </w:p>
        </w:tc>
        <w:tc>
          <w:tcPr>
            <w:tcW w:w="190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pPr>
            <w:r w:rsidRPr="00F03F52">
              <w:t>Уголовно-процессуальный кодекс Российской Федерации</w:t>
            </w:r>
          </w:p>
        </w:tc>
        <w:tc>
          <w:tcPr>
            <w:tcW w:w="215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pPr>
            <w:r w:rsidRPr="00F03F52">
              <w:t>Денежные средства, подлежащие выплате свидетелям, экспертам и специалистам, или другие связанные с рассмотрением дела расходы, признанные судом необходимыми.</w:t>
            </w:r>
          </w:p>
        </w:tc>
      </w:tr>
      <w:tr w:rsidR="00F03F52" w:rsidRPr="00F03F52" w:rsidTr="00F03F52">
        <w:tc>
          <w:tcPr>
            <w:tcW w:w="25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jc w:val="center"/>
            </w:pPr>
            <w:r w:rsidRPr="00F03F52">
              <w:t>3</w:t>
            </w:r>
          </w:p>
        </w:tc>
        <w:tc>
          <w:tcPr>
            <w:tcW w:w="60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jc w:val="center"/>
            </w:pPr>
            <w:r w:rsidRPr="00F03F52">
              <w:t>0027</w:t>
            </w:r>
          </w:p>
        </w:tc>
        <w:tc>
          <w:tcPr>
            <w:tcW w:w="190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pPr>
            <w:r w:rsidRPr="00F03F52">
              <w:t>Кодекс административного судопроизводства Российской Федерации</w:t>
            </w:r>
          </w:p>
        </w:tc>
        <w:tc>
          <w:tcPr>
            <w:tcW w:w="215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pPr>
            <w:r w:rsidRPr="00F03F52">
              <w:t>Денежные средства, являющиеся предметом залога, денежные средства взамен 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 или административного дела.</w:t>
            </w:r>
          </w:p>
        </w:tc>
      </w:tr>
      <w:tr w:rsidR="00F03F52" w:rsidRPr="00F03F52" w:rsidTr="00F03F52">
        <w:tc>
          <w:tcPr>
            <w:tcW w:w="25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jc w:val="center"/>
            </w:pPr>
            <w:r w:rsidRPr="00F03F52">
              <w:t>4</w:t>
            </w:r>
          </w:p>
        </w:tc>
        <w:tc>
          <w:tcPr>
            <w:tcW w:w="60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jc w:val="center"/>
            </w:pPr>
            <w:r w:rsidRPr="00F03F52">
              <w:t>0028</w:t>
            </w:r>
          </w:p>
        </w:tc>
        <w:tc>
          <w:tcPr>
            <w:tcW w:w="190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pPr>
            <w:r w:rsidRPr="00F03F52">
              <w:t>Гражданский процессуальный кодекс Российской Федерации</w:t>
            </w:r>
          </w:p>
        </w:tc>
        <w:tc>
          <w:tcPr>
            <w:tcW w:w="215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pPr>
            <w:r w:rsidRPr="00F03F52">
              <w:t>Денежные средства, являющиеся предметом залога, денежные средства взамен 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 административного дела.</w:t>
            </w:r>
          </w:p>
        </w:tc>
      </w:tr>
      <w:tr w:rsidR="00F03F52" w:rsidRPr="00F03F52" w:rsidTr="00F03F52">
        <w:tc>
          <w:tcPr>
            <w:tcW w:w="25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jc w:val="center"/>
            </w:pPr>
            <w:r w:rsidRPr="00F03F52">
              <w:t>5</w:t>
            </w:r>
          </w:p>
        </w:tc>
        <w:tc>
          <w:tcPr>
            <w:tcW w:w="60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jc w:val="center"/>
            </w:pPr>
            <w:r w:rsidRPr="00F03F52">
              <w:t>0029</w:t>
            </w:r>
          </w:p>
        </w:tc>
        <w:tc>
          <w:tcPr>
            <w:tcW w:w="190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pPr>
            <w:r w:rsidRPr="00F03F52">
              <w:t>Гражданский процессуальный кодекс Российской Федерации</w:t>
            </w:r>
          </w:p>
        </w:tc>
        <w:tc>
          <w:tcPr>
            <w:tcW w:w="215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pPr>
            <w:r w:rsidRPr="00F03F52">
              <w:t xml:space="preserve">Денежные средства, подлежащие выплате свидетелям, экспертам и специалистам, или другие связанные с рассмотрением дела расходы, </w:t>
            </w:r>
            <w:r w:rsidRPr="00F03F52">
              <w:lastRenderedPageBreak/>
              <w:t>признанные судом необходимыми.</w:t>
            </w:r>
          </w:p>
        </w:tc>
      </w:tr>
      <w:tr w:rsidR="00F03F52" w:rsidRPr="00F03F52" w:rsidTr="00F03F52">
        <w:tc>
          <w:tcPr>
            <w:tcW w:w="25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jc w:val="center"/>
            </w:pPr>
            <w:r w:rsidRPr="00F03F52">
              <w:lastRenderedPageBreak/>
              <w:t>6</w:t>
            </w:r>
          </w:p>
        </w:tc>
        <w:tc>
          <w:tcPr>
            <w:tcW w:w="60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jc w:val="center"/>
            </w:pPr>
            <w:r w:rsidRPr="00F03F52">
              <w:t>0038</w:t>
            </w:r>
          </w:p>
        </w:tc>
        <w:tc>
          <w:tcPr>
            <w:tcW w:w="190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pPr>
            <w:r w:rsidRPr="00F03F52">
              <w:t>Кодекс Российской Федерации об административных правонарушениях</w:t>
            </w:r>
          </w:p>
        </w:tc>
        <w:tc>
          <w:tcPr>
            <w:tcW w:w="2150" w:type="pct"/>
            <w:tcBorders>
              <w:top w:val="outset" w:sz="6" w:space="0" w:color="auto"/>
              <w:left w:val="outset" w:sz="6" w:space="0" w:color="auto"/>
              <w:bottom w:val="outset" w:sz="6" w:space="0" w:color="auto"/>
              <w:right w:val="outset" w:sz="6" w:space="0" w:color="auto"/>
            </w:tcBorders>
            <w:hideMark/>
          </w:tcPr>
          <w:p w:rsidR="00F03F52" w:rsidRPr="00F03F52" w:rsidRDefault="00F03F52">
            <w:pPr>
              <w:pStyle w:val="a3"/>
              <w:spacing w:before="0" w:beforeAutospacing="0" w:after="0" w:afterAutospacing="0"/>
            </w:pPr>
            <w:r w:rsidRPr="00F03F52">
              <w:t>Денежные средства, являющиеся предметом залога.</w:t>
            </w:r>
          </w:p>
        </w:tc>
      </w:tr>
    </w:tbl>
    <w:p w:rsidR="00F03F52" w:rsidRPr="00F03F52" w:rsidRDefault="00F03F52" w:rsidP="00F03F52">
      <w:pPr>
        <w:pStyle w:val="a3"/>
        <w:spacing w:before="0" w:beforeAutospacing="0" w:after="0" w:afterAutospacing="0"/>
        <w:jc w:val="both"/>
        <w:rPr>
          <w:color w:val="000000"/>
        </w:rPr>
      </w:pPr>
      <w:r w:rsidRPr="00F03F52">
        <w:rPr>
          <w:color w:val="000000"/>
        </w:rPr>
        <w:t>     Копия документа, подтверждающего внесение денежных средств на лицевой (депозитный) счет Управления, представляется плательщиком или иным уполномоченным лицом в суд для приобщения к материалам дела.</w:t>
      </w:r>
    </w:p>
    <w:p w:rsidR="00F03F52" w:rsidRPr="00F03F52" w:rsidRDefault="00F03F52" w:rsidP="00F03F52">
      <w:pPr>
        <w:pStyle w:val="a3"/>
        <w:spacing w:before="0" w:beforeAutospacing="0" w:after="0" w:afterAutospacing="0"/>
        <w:jc w:val="both"/>
        <w:rPr>
          <w:color w:val="000000"/>
        </w:rPr>
      </w:pPr>
      <w:r w:rsidRPr="00F03F52">
        <w:rPr>
          <w:color w:val="000000"/>
        </w:rPr>
        <w:t xml:space="preserve">      </w:t>
      </w:r>
      <w:proofErr w:type="gramStart"/>
      <w:r w:rsidRPr="00F03F52">
        <w:rPr>
          <w:color w:val="000000"/>
        </w:rPr>
        <w:t>Перечисление денежных средств с лицевого (депозитного) счета производится финансово-экономическим отделом Управления только на основании судебного акта, вступившего в законную силу, содержащего указание в резолютивной части о выплате денежных средств залогодателю, лицам, участвующим в деле, иным участникам судопроизводства или уполномоченным лицам за счет средств, поступивших во временное распоряжение Управления, или о возврате денежных средств плательщику, за исключением случаев ошибочного зачисления средств</w:t>
      </w:r>
      <w:proofErr w:type="gramEnd"/>
      <w:r w:rsidRPr="00F03F52">
        <w:rPr>
          <w:color w:val="000000"/>
        </w:rPr>
        <w:t xml:space="preserve"> (пункт 1.9 настоящего Регламента).</w:t>
      </w:r>
    </w:p>
    <w:p w:rsidR="00F03F52" w:rsidRPr="00F03F52" w:rsidRDefault="00F03F52" w:rsidP="00F03F52">
      <w:pPr>
        <w:pStyle w:val="a3"/>
        <w:spacing w:before="0" w:beforeAutospacing="0" w:after="0" w:afterAutospacing="0"/>
        <w:jc w:val="both"/>
        <w:rPr>
          <w:color w:val="000000"/>
        </w:rPr>
      </w:pPr>
      <w:r w:rsidRPr="00F03F52">
        <w:rPr>
          <w:color w:val="000000"/>
        </w:rPr>
        <w:t>      В случаях, предусмотренных законом, перечисление денежных средств с лицевого (депозитного) счета производится финансово-экономическим отделом Управления на основании судебного акта, не вступившего в законную силу.</w:t>
      </w:r>
    </w:p>
    <w:p w:rsidR="00F03F52" w:rsidRPr="00F03F52" w:rsidRDefault="00F03F52" w:rsidP="00F03F52">
      <w:pPr>
        <w:pStyle w:val="a3"/>
        <w:spacing w:before="0" w:beforeAutospacing="0" w:after="0" w:afterAutospacing="0"/>
        <w:jc w:val="both"/>
        <w:rPr>
          <w:color w:val="000000"/>
        </w:rPr>
      </w:pPr>
      <w:r w:rsidRPr="00F03F52">
        <w:rPr>
          <w:color w:val="000000"/>
        </w:rPr>
        <w:t xml:space="preserve">      При прекращении следователем, дознавателем уголовного дела по которому залог внесен на стадии судебного производства, возвращение </w:t>
      </w:r>
      <w:proofErr w:type="gramStart"/>
      <w:r w:rsidRPr="00F03F52">
        <w:rPr>
          <w:color w:val="000000"/>
        </w:rPr>
        <w:t>залога залогодателю</w:t>
      </w:r>
      <w:proofErr w:type="gramEnd"/>
      <w:r w:rsidRPr="00F03F52">
        <w:rPr>
          <w:color w:val="000000"/>
        </w:rPr>
        <w:t xml:space="preserve"> производится финансово-экономическим отделом Управления на основании заверенной надлежащим образом копии постановления следователя, дознавателя о прекращении уголовного дела, вынесенного в порядке части 10 статьи 106 Уголовно-процессуального кодекса Российской Федерации.</w:t>
      </w:r>
    </w:p>
    <w:p w:rsidR="00F03F52" w:rsidRPr="00F03F52" w:rsidRDefault="00F03F52" w:rsidP="00F03F52">
      <w:pPr>
        <w:pStyle w:val="a3"/>
        <w:spacing w:before="0" w:beforeAutospacing="0" w:after="0" w:afterAutospacing="0"/>
        <w:jc w:val="both"/>
        <w:rPr>
          <w:color w:val="000000"/>
        </w:rPr>
      </w:pPr>
      <w:r w:rsidRPr="00F03F52">
        <w:rPr>
          <w:color w:val="000000"/>
        </w:rPr>
        <w:t xml:space="preserve">      </w:t>
      </w:r>
      <w:proofErr w:type="gramStart"/>
      <w:r w:rsidRPr="00F03F52">
        <w:rPr>
          <w:color w:val="000000"/>
        </w:rPr>
        <w:t>Перечисление с лицевого (депозитного) счета указанных в судебном акте денежных средств производится финансово-экономическим отделом Управления только безналичным путем на текущий лицевой (расчетный) счет получателя не позднее 30 дней со дня получения судебного акта, за исключением случаев, предусмотренных </w:t>
      </w:r>
      <w:hyperlink r:id="rId14" w:history="1">
        <w:r w:rsidRPr="00F03F52">
          <w:rPr>
            <w:rStyle w:val="a4"/>
            <w:color w:val="0066CC"/>
          </w:rPr>
          <w:t>абзацем вторым пункта 2.6</w:t>
        </w:r>
      </w:hyperlink>
      <w:r w:rsidRPr="00F03F52">
        <w:rPr>
          <w:color w:val="000000"/>
        </w:rPr>
        <w:t> настоящего Регламента.</w:t>
      </w:r>
      <w:proofErr w:type="gramEnd"/>
    </w:p>
    <w:p w:rsidR="00F03F52" w:rsidRPr="00F03F52" w:rsidRDefault="00F03F52" w:rsidP="00F03F52">
      <w:pPr>
        <w:pStyle w:val="a3"/>
        <w:spacing w:before="0" w:beforeAutospacing="0" w:after="0" w:afterAutospacing="0"/>
        <w:jc w:val="both"/>
        <w:rPr>
          <w:color w:val="000000"/>
        </w:rPr>
      </w:pPr>
      <w:r w:rsidRPr="00F03F52">
        <w:rPr>
          <w:color w:val="000000"/>
        </w:rPr>
        <w:t>      В случае отсутствия банковских реквизитов перечисление денежных средств не производится.</w:t>
      </w:r>
    </w:p>
    <w:p w:rsidR="00F03F52" w:rsidRPr="00F03F52" w:rsidRDefault="00F03F52" w:rsidP="00F03F52">
      <w:pPr>
        <w:pStyle w:val="a3"/>
        <w:spacing w:before="0" w:beforeAutospacing="0" w:after="0" w:afterAutospacing="0"/>
        <w:jc w:val="both"/>
        <w:rPr>
          <w:color w:val="000000"/>
        </w:rPr>
      </w:pPr>
      <w:r w:rsidRPr="00F03F52">
        <w:rPr>
          <w:color w:val="000000"/>
        </w:rPr>
        <w:t>      При наличии в судебном акте информации, достаточной для перечисления денежных средств, заявление получателя не требуется.</w:t>
      </w:r>
    </w:p>
    <w:p w:rsidR="00F03F52" w:rsidRPr="00F03F52" w:rsidRDefault="00F03F52" w:rsidP="00F03F52">
      <w:pPr>
        <w:pStyle w:val="a3"/>
        <w:spacing w:before="0" w:beforeAutospacing="0" w:after="0" w:afterAutospacing="0"/>
        <w:jc w:val="both"/>
        <w:rPr>
          <w:color w:val="000000"/>
        </w:rPr>
      </w:pPr>
      <w:r w:rsidRPr="00F03F52">
        <w:rPr>
          <w:color w:val="000000"/>
        </w:rPr>
        <w:t>     Возврат ошибочно зачисленных средств, в том числе ошибочно зачисленной на лицевой (депозитный) счет государственной пошлины, производится плательщику на основании его письменного заявления с указанием реквизитов лицевого (расчетного) счета в течение 30 дней со дня подачи такого заявления.</w:t>
      </w:r>
    </w:p>
    <w:p w:rsidR="00F03F52" w:rsidRPr="00F03F52" w:rsidRDefault="00F03F52" w:rsidP="00F03F52">
      <w:pPr>
        <w:pStyle w:val="a3"/>
        <w:spacing w:before="0" w:beforeAutospacing="0" w:after="0" w:afterAutospacing="0"/>
        <w:jc w:val="both"/>
        <w:rPr>
          <w:color w:val="000000"/>
        </w:rPr>
      </w:pPr>
      <w:r w:rsidRPr="00F03F52">
        <w:rPr>
          <w:color w:val="000000"/>
        </w:rPr>
        <w:t>      Возврат ошибочно зачисленных средств, в том числе ошибочно зачисленной на лицевой (депозитный) счет государственной пошлины, иным лицам не допускается.</w:t>
      </w:r>
    </w:p>
    <w:p w:rsidR="00F03F52" w:rsidRPr="00F03F52" w:rsidRDefault="00F03F52" w:rsidP="00F03F52">
      <w:pPr>
        <w:pStyle w:val="a3"/>
        <w:spacing w:before="0" w:beforeAutospacing="0" w:after="0" w:afterAutospacing="0"/>
        <w:jc w:val="both"/>
        <w:rPr>
          <w:color w:val="000000"/>
        </w:rPr>
      </w:pPr>
      <w:r w:rsidRPr="00F03F52">
        <w:rPr>
          <w:color w:val="000000"/>
        </w:rPr>
        <w:t xml:space="preserve">      </w:t>
      </w:r>
      <w:proofErr w:type="gramStart"/>
      <w:r w:rsidRPr="00F03F52">
        <w:rPr>
          <w:color w:val="000000"/>
        </w:rPr>
        <w:t>Невостребованные денежные средства, поступившие во временное распоряжение Управления, списываются с лицевого (депозитного) счета по истечении трех лет с момента вступления в законную силу судебного акта, которым дело разрешено по существу, на основании акта о списании, утвержденного начальником Управления, с последующим их перечислением в доход федерального бюджета.</w:t>
      </w:r>
      <w:proofErr w:type="gramEnd"/>
    </w:p>
    <w:p w:rsidR="00F03F52" w:rsidRPr="00F03F52" w:rsidRDefault="00F03F52" w:rsidP="00F03F52">
      <w:pPr>
        <w:pStyle w:val="a3"/>
        <w:spacing w:before="0" w:beforeAutospacing="0" w:after="0" w:afterAutospacing="0"/>
        <w:jc w:val="both"/>
        <w:rPr>
          <w:color w:val="000000"/>
        </w:rPr>
      </w:pPr>
      <w:r w:rsidRPr="00F03F52">
        <w:rPr>
          <w:color w:val="000000"/>
        </w:rPr>
        <w:t xml:space="preserve">      Судебные расходы по делам, находящимся в </w:t>
      </w:r>
      <w:proofErr w:type="gramStart"/>
      <w:r w:rsidRPr="00F03F52">
        <w:rPr>
          <w:color w:val="000000"/>
        </w:rPr>
        <w:t>производстве</w:t>
      </w:r>
      <w:proofErr w:type="gramEnd"/>
      <w:r w:rsidRPr="00F03F52">
        <w:rPr>
          <w:color w:val="000000"/>
        </w:rPr>
        <w:t xml:space="preserve"> мировых судей Самарской области, должны размещаться на лицевом счете, открытом органу, осуществляющему организационное обеспечение деятельности мировых судей в субъекте Российской Федерации - Службе мировых судей Самарского области.</w:t>
      </w:r>
    </w:p>
    <w:p w:rsidR="00F03F52" w:rsidRPr="00F03F52" w:rsidRDefault="00F03F52" w:rsidP="00F03F52">
      <w:pPr>
        <w:jc w:val="both"/>
      </w:pPr>
    </w:p>
    <w:sectPr w:rsidR="00F03F52" w:rsidRPr="00F03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36"/>
    <w:rsid w:val="00C55814"/>
    <w:rsid w:val="00D37036"/>
    <w:rsid w:val="00F03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3F52"/>
    <w:pPr>
      <w:spacing w:before="100" w:beforeAutospacing="1" w:after="100" w:afterAutospacing="1"/>
    </w:pPr>
  </w:style>
  <w:style w:type="character" w:styleId="a4">
    <w:name w:val="Hyperlink"/>
    <w:basedOn w:val="a0"/>
    <w:uiPriority w:val="99"/>
    <w:unhideWhenUsed/>
    <w:rsid w:val="00F03F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3F52"/>
    <w:pPr>
      <w:spacing w:before="100" w:beforeAutospacing="1" w:after="100" w:afterAutospacing="1"/>
    </w:pPr>
  </w:style>
  <w:style w:type="character" w:styleId="a4">
    <w:name w:val="Hyperlink"/>
    <w:basedOn w:val="a0"/>
    <w:uiPriority w:val="99"/>
    <w:unhideWhenUsed/>
    <w:rsid w:val="00F03F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435481">
      <w:bodyDiv w:val="1"/>
      <w:marLeft w:val="0"/>
      <w:marRight w:val="0"/>
      <w:marTop w:val="0"/>
      <w:marBottom w:val="0"/>
      <w:divBdr>
        <w:top w:val="none" w:sz="0" w:space="0" w:color="auto"/>
        <w:left w:val="none" w:sz="0" w:space="0" w:color="auto"/>
        <w:bottom w:val="none" w:sz="0" w:space="0" w:color="auto"/>
        <w:right w:val="none" w:sz="0" w:space="0" w:color="auto"/>
      </w:divBdr>
      <w:divsChild>
        <w:div w:id="212469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757B94ECFB43B0619936C2FC538E597445151E78BD96841504BC0A8AF4CA377F228F7799062915543D7043A2A1DD89EFF8124D9F98E630b506H" TargetMode="External"/><Relationship Id="rId13" Type="http://schemas.openxmlformats.org/officeDocument/2006/relationships/hyperlink" Target="consultantplus://offline/ref=FC757B94ECFB43B0619936C2FC538E59754A1C1F7DBC96841504BC0A8AF4CA376D22D77B9B05301551282612E4bF05H" TargetMode="External"/><Relationship Id="rId3" Type="http://schemas.openxmlformats.org/officeDocument/2006/relationships/settings" Target="settings.xml"/><Relationship Id="rId7" Type="http://schemas.openxmlformats.org/officeDocument/2006/relationships/hyperlink" Target="consultantplus://offline/ref=FC757B94ECFB43B0619936C2FC538E597445151E78BD96841504BC0A8AF4CA377F228F7799062A12573D7043A2A1DD89EFF8124D9F98E630b506H" TargetMode="External"/><Relationship Id="rId12" Type="http://schemas.openxmlformats.org/officeDocument/2006/relationships/hyperlink" Target="consultantplus://offline/ref=FC757B94ECFB43B0619936C2FC538E597445131D7EB696841504BC0A8AF4CA377F228F749E02271E01676047EBF6D395ECE20C4B8198bE07H"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C757B94ECFB43B0619936C2FC538E597445151E78BD96841504BC0A8AF4CA377F228F7799062A13523D7043A2A1DD89EFF8124D9F98E630b506H" TargetMode="External"/><Relationship Id="rId11" Type="http://schemas.openxmlformats.org/officeDocument/2006/relationships/hyperlink" Target="consultantplus://offline/ref=FC757B94ECFB43B0619936C2FC538E597445151E78BC96841504BC0A8AF4CA377F228F779906291D513D7043A2A1DD89EFF8124D9F98E630b506H" TargetMode="External"/><Relationship Id="rId5" Type="http://schemas.openxmlformats.org/officeDocument/2006/relationships/hyperlink" Target="consultantplus://offline/ref=FC757B94ECFB43B0619936C2FC538E59744A141878BD96841504BC0A8AF4CA377F228F75990425410472711FE4F7CE8BE8F8104983b90BH" TargetMode="External"/><Relationship Id="rId15" Type="http://schemas.openxmlformats.org/officeDocument/2006/relationships/fontTable" Target="fontTable.xml"/><Relationship Id="rId10" Type="http://schemas.openxmlformats.org/officeDocument/2006/relationships/hyperlink" Target="consultantplus://offline/ref=FC757B94ECFB43B0619936C2FC538E597445151E78BC96841504BC0A8AF4CA377F228F7799062912573D7043A2A1DD89EFF8124D9F98E630b506H" TargetMode="External"/><Relationship Id="rId4" Type="http://schemas.openxmlformats.org/officeDocument/2006/relationships/webSettings" Target="webSettings.xml"/><Relationship Id="rId9" Type="http://schemas.openxmlformats.org/officeDocument/2006/relationships/hyperlink" Target="consultantplus://offline/ref=FC757B94ECFB43B0619936C2FC538E597445151E78BC96841504BC0A8AF4CA377F228F7799062913523D7043A2A1DD89EFF8124D9F98E630b506H" TargetMode="External"/><Relationship Id="rId14" Type="http://schemas.openxmlformats.org/officeDocument/2006/relationships/hyperlink" Target="https://login.consultant.ru/link/?req=doc&amp;base=EXP&amp;n=864275&amp;dst=1001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1507</Words>
  <Characters>8595</Characters>
  <Application>Microsoft Office Word</Application>
  <DocSecurity>0</DocSecurity>
  <Lines>71</Lines>
  <Paragraphs>20</Paragraphs>
  <ScaleCrop>false</ScaleCrop>
  <Company/>
  <LinksUpToDate>false</LinksUpToDate>
  <CharactersWithSpaces>10082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2025-11-14T09:24:00Z</dcterms:created>
  <dcterms:modified xsi:type="dcterms:W3CDTF">2025-11-14T09:28:00Z</dcterms:modified>
</cp:coreProperties>
</file>