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FB" w:rsidRDefault="00B413FB" w:rsidP="00B413FB">
      <w:pPr>
        <w:spacing w:after="0" w:line="240" w:lineRule="auto"/>
        <w:jc w:val="center"/>
        <w:rPr>
          <w:rFonts w:ascii="Verdana" w:hAnsi="Verdana"/>
          <w:b/>
          <w:sz w:val="26"/>
          <w:szCs w:val="26"/>
        </w:rPr>
      </w:pPr>
      <w:r w:rsidRPr="00140495">
        <w:rPr>
          <w:rFonts w:ascii="Verdana" w:hAnsi="Verdana"/>
          <w:b/>
          <w:sz w:val="26"/>
          <w:szCs w:val="26"/>
        </w:rPr>
        <w:t>Федеральный закон от 27.07.2004 N 79-ФЗ "О государственной гражданской службе Российской Федерации"</w:t>
      </w:r>
    </w:p>
    <w:p w:rsidR="00B413FB" w:rsidRDefault="00B413FB" w:rsidP="00B413FB">
      <w:pPr>
        <w:spacing w:after="0" w:line="240" w:lineRule="auto"/>
        <w:jc w:val="center"/>
        <w:rPr>
          <w:rFonts w:ascii="Verdana" w:hAnsi="Verdana"/>
          <w:b/>
          <w:sz w:val="26"/>
          <w:szCs w:val="26"/>
        </w:rPr>
      </w:pP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Глава 16. РАССМОТРЕНИЕ ИНДИВИДУАЛЬНЫХ СЛУЖЕБНЫХ СПОРОВ</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Статья 69. Индивидуальный служебный спор</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Статья 70. Органы по рассмотрению индивидуальных служебных споров</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1) комиссией государственного органа по служебным спорам;</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2) судом.</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2. </w:t>
      </w:r>
      <w:proofErr w:type="gramStart"/>
      <w:r w:rsidRPr="00B413FB">
        <w:rPr>
          <w:rFonts w:ascii="Verdana" w:hAnsi="Verdana"/>
          <w:sz w:val="26"/>
          <w:szCs w:val="26"/>
        </w:rPr>
        <w:t>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roofErr w:type="gramEnd"/>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4.2. Конференция гражданских служащих государственного органа считается правомочной, если на ней присутствует не менее двух </w:t>
      </w:r>
      <w:r w:rsidRPr="00B413FB">
        <w:rPr>
          <w:rFonts w:ascii="Verdana" w:hAnsi="Verdana"/>
          <w:sz w:val="26"/>
          <w:szCs w:val="26"/>
        </w:rPr>
        <w:lastRenderedPageBreak/>
        <w:t>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6. Комиссия по служебным спорам избирает из своего состава председателя и секретаря комиссии.</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7. Служебный спор рассматривается комиссией по служебным спорам в </w:t>
      </w:r>
      <w:proofErr w:type="gramStart"/>
      <w:r w:rsidRPr="00B413FB">
        <w:rPr>
          <w:rFonts w:ascii="Verdana" w:hAnsi="Verdana"/>
          <w:sz w:val="26"/>
          <w:szCs w:val="26"/>
        </w:rPr>
        <w:t>случае</w:t>
      </w:r>
      <w:proofErr w:type="gramEnd"/>
      <w:r w:rsidRPr="00B413FB">
        <w:rPr>
          <w:rFonts w:ascii="Verdana" w:hAnsi="Verdana"/>
          <w:sz w:val="26"/>
          <w:szCs w:val="26"/>
        </w:rPr>
        <w:t>,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w:t>
      </w:r>
      <w:r w:rsidRPr="00B413FB">
        <w:rPr>
          <w:rFonts w:ascii="Verdana" w:hAnsi="Verdana"/>
          <w:sz w:val="26"/>
          <w:szCs w:val="26"/>
        </w:rPr>
        <w:lastRenderedPageBreak/>
        <w:t>органа проведение заседания комиссии по служебным спорам без его (их) участия не допускается.</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11.2. </w:t>
      </w:r>
      <w:proofErr w:type="gramStart"/>
      <w:r w:rsidRPr="00B413FB">
        <w:rPr>
          <w:rFonts w:ascii="Verdana" w:hAnsi="Verdana"/>
          <w:sz w:val="26"/>
          <w:szCs w:val="26"/>
        </w:rPr>
        <w:t>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w:t>
      </w:r>
      <w:proofErr w:type="gramEnd"/>
      <w:r w:rsidRPr="00B413FB">
        <w:rPr>
          <w:rFonts w:ascii="Verdana" w:hAnsi="Verdana"/>
          <w:sz w:val="26"/>
          <w:szCs w:val="26"/>
        </w:rPr>
        <w:t xml:space="preserve"> служебному спору.</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11.3. </w:t>
      </w:r>
      <w:proofErr w:type="gramStart"/>
      <w:r w:rsidRPr="00B413FB">
        <w:rPr>
          <w:rFonts w:ascii="Verdana" w:hAnsi="Verdana"/>
          <w:sz w:val="26"/>
          <w:szCs w:val="26"/>
        </w:rPr>
        <w:t>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w:t>
      </w:r>
      <w:proofErr w:type="gramEnd"/>
      <w:r w:rsidRPr="00B413FB">
        <w:rPr>
          <w:rFonts w:ascii="Verdana" w:hAnsi="Verdana"/>
          <w:sz w:val="26"/>
          <w:szCs w:val="26"/>
        </w:rPr>
        <w:t xml:space="preserve"> Рассмотрение служебного спора в отсутствие </w:t>
      </w:r>
      <w:proofErr w:type="gramStart"/>
      <w:r w:rsidRPr="00B413FB">
        <w:rPr>
          <w:rFonts w:ascii="Verdana" w:hAnsi="Verdana"/>
          <w:sz w:val="26"/>
          <w:szCs w:val="26"/>
        </w:rPr>
        <w:t>указанных</w:t>
      </w:r>
      <w:proofErr w:type="gramEnd"/>
      <w:r w:rsidRPr="00B413FB">
        <w:rPr>
          <w:rFonts w:ascii="Verdana" w:hAnsi="Verdana"/>
          <w:sz w:val="26"/>
          <w:szCs w:val="26"/>
        </w:rPr>
        <w:t xml:space="preserve">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частью 8 настоящей статьи.</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11.5. В случае</w:t>
      </w:r>
      <w:proofErr w:type="gramStart"/>
      <w:r w:rsidRPr="00B413FB">
        <w:rPr>
          <w:rFonts w:ascii="Verdana" w:hAnsi="Verdana"/>
          <w:sz w:val="26"/>
          <w:szCs w:val="26"/>
        </w:rPr>
        <w:t>,</w:t>
      </w:r>
      <w:proofErr w:type="gramEnd"/>
      <w:r w:rsidRPr="00B413FB">
        <w:rPr>
          <w:rFonts w:ascii="Verdana" w:hAnsi="Verdana"/>
          <w:sz w:val="26"/>
          <w:szCs w:val="26"/>
        </w:rPr>
        <w:t xml:space="preserve">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w:t>
      </w:r>
      <w:r w:rsidRPr="00B413FB">
        <w:rPr>
          <w:rFonts w:ascii="Verdana" w:hAnsi="Verdana"/>
          <w:sz w:val="26"/>
          <w:szCs w:val="26"/>
        </w:rPr>
        <w:lastRenderedPageBreak/>
        <w:t>состоявший на гражданской службе, имеет право перенести рассмотрение служебного спора в суд.</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w:t>
      </w:r>
      <w:proofErr w:type="gramStart"/>
      <w:r w:rsidRPr="00B413FB">
        <w:rPr>
          <w:rFonts w:ascii="Verdana" w:hAnsi="Verdana"/>
          <w:sz w:val="26"/>
          <w:szCs w:val="26"/>
        </w:rPr>
        <w:t>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roofErr w:type="gramEnd"/>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13. </w:t>
      </w:r>
      <w:proofErr w:type="gramStart"/>
      <w:r w:rsidRPr="00B413FB">
        <w:rPr>
          <w:rFonts w:ascii="Verdana" w:hAnsi="Verdana"/>
          <w:sz w:val="26"/>
          <w:szCs w:val="26"/>
        </w:rPr>
        <w:t>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rsidRPr="00B413FB">
        <w:rPr>
          <w:rFonts w:ascii="Verdana" w:hAnsi="Verdana"/>
          <w:sz w:val="26"/>
          <w:szCs w:val="26"/>
        </w:rP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14. Непосредственно в </w:t>
      </w:r>
      <w:proofErr w:type="gramStart"/>
      <w:r w:rsidRPr="00B413FB">
        <w:rPr>
          <w:rFonts w:ascii="Verdana" w:hAnsi="Verdana"/>
          <w:sz w:val="26"/>
          <w:szCs w:val="26"/>
        </w:rPr>
        <w:t>судах</w:t>
      </w:r>
      <w:proofErr w:type="gramEnd"/>
      <w:r w:rsidRPr="00B413FB">
        <w:rPr>
          <w:rFonts w:ascii="Verdana" w:hAnsi="Verdana"/>
          <w:sz w:val="26"/>
          <w:szCs w:val="26"/>
        </w:rPr>
        <w:t xml:space="preserve"> рассматриваются служебные споры по письменным заявлениям:</w:t>
      </w:r>
    </w:p>
    <w:p w:rsidR="00B413FB" w:rsidRPr="00B413FB" w:rsidRDefault="00B413FB" w:rsidP="00B413FB">
      <w:pPr>
        <w:spacing w:after="0" w:line="240" w:lineRule="auto"/>
        <w:jc w:val="both"/>
        <w:rPr>
          <w:rFonts w:ascii="Verdana" w:hAnsi="Verdana"/>
          <w:sz w:val="26"/>
          <w:szCs w:val="26"/>
        </w:rPr>
      </w:pPr>
      <w:proofErr w:type="gramStart"/>
      <w:r w:rsidRPr="00B413FB">
        <w:rPr>
          <w:rFonts w:ascii="Verdana" w:hAnsi="Verdana"/>
          <w:sz w:val="26"/>
          <w:szCs w:val="26"/>
        </w:rPr>
        <w:t>1) гражданско</w:t>
      </w:r>
      <w:bookmarkStart w:id="0" w:name="_GoBack"/>
      <w:bookmarkEnd w:id="0"/>
      <w:r w:rsidRPr="00B413FB">
        <w:rPr>
          <w:rFonts w:ascii="Verdana" w:hAnsi="Verdana"/>
          <w:sz w:val="26"/>
          <w:szCs w:val="26"/>
        </w:rPr>
        <w:t>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rsidRPr="00B413FB">
        <w:rPr>
          <w:rFonts w:ascii="Verdana" w:hAnsi="Verdana"/>
          <w:sz w:val="26"/>
          <w:szCs w:val="26"/>
        </w:rPr>
        <w:t xml:space="preserve"> служащего, об оплате за время вынужденного прогула либо о </w:t>
      </w:r>
      <w:r w:rsidRPr="00B413FB">
        <w:rPr>
          <w:rFonts w:ascii="Verdana" w:hAnsi="Verdana"/>
          <w:sz w:val="26"/>
          <w:szCs w:val="26"/>
        </w:rPr>
        <w:lastRenderedPageBreak/>
        <w:t>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15. Непосредственно в </w:t>
      </w:r>
      <w:proofErr w:type="gramStart"/>
      <w:r w:rsidRPr="00B413FB">
        <w:rPr>
          <w:rFonts w:ascii="Verdana" w:hAnsi="Verdana"/>
          <w:sz w:val="26"/>
          <w:szCs w:val="26"/>
        </w:rPr>
        <w:t>судах</w:t>
      </w:r>
      <w:proofErr w:type="gramEnd"/>
      <w:r w:rsidRPr="00B413FB">
        <w:rPr>
          <w:rFonts w:ascii="Verdana" w:hAnsi="Verdana"/>
          <w:sz w:val="26"/>
          <w:szCs w:val="26"/>
        </w:rPr>
        <w:t xml:space="preserve"> рассматриваются также служебные споры:</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1) о неправомерном отказе в поступлении на гражданскую службу;</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2) по письменным заявлениям гражданских служащих, считающих, что они подверглись дискриминации.</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16. </w:t>
      </w:r>
      <w:proofErr w:type="gramStart"/>
      <w:r w:rsidRPr="00B413FB">
        <w:rPr>
          <w:rFonts w:ascii="Verdana" w:hAnsi="Verdana"/>
          <w:sz w:val="26"/>
          <w:szCs w:val="26"/>
        </w:rPr>
        <w:t>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w:t>
      </w:r>
      <w:proofErr w:type="gramEnd"/>
      <w:r w:rsidRPr="00B413FB">
        <w:rPr>
          <w:rFonts w:ascii="Verdana" w:hAnsi="Verdana"/>
          <w:sz w:val="26"/>
          <w:szCs w:val="26"/>
        </w:rPr>
        <w:t xml:space="preserve"> служащего денежной компенсации причиненного ему морального вреда. Размер этой компенсации определяется судом.</w:t>
      </w:r>
    </w:p>
    <w:p w:rsidR="00B413FB" w:rsidRPr="00B413FB" w:rsidRDefault="00B413FB" w:rsidP="00B413FB">
      <w:pPr>
        <w:spacing w:after="0" w:line="240" w:lineRule="auto"/>
        <w:jc w:val="both"/>
        <w:rPr>
          <w:rFonts w:ascii="Verdana" w:hAnsi="Verdana"/>
          <w:sz w:val="26"/>
          <w:szCs w:val="26"/>
        </w:rPr>
      </w:pPr>
      <w:r w:rsidRPr="00B413FB">
        <w:rPr>
          <w:rFonts w:ascii="Verdana" w:hAnsi="Verdana"/>
          <w:sz w:val="26"/>
          <w:szCs w:val="26"/>
        </w:rPr>
        <w:t xml:space="preserve">17. </w:t>
      </w:r>
      <w:proofErr w:type="gramStart"/>
      <w:r w:rsidRPr="00B413FB">
        <w:rPr>
          <w:rFonts w:ascii="Verdana" w:hAnsi="Verdana"/>
          <w:sz w:val="26"/>
          <w:szCs w:val="26"/>
        </w:rPr>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rsidRPr="00B413FB">
        <w:rPr>
          <w:rFonts w:ascii="Verdana" w:hAnsi="Verdana"/>
          <w:sz w:val="26"/>
          <w:szCs w:val="26"/>
        </w:rPr>
        <w:t xml:space="preserve"> службы и ограничения обратного взыскания сумм, выплаченных по решению органов по рассмотрению служебных споров, определяются в </w:t>
      </w:r>
      <w:proofErr w:type="gramStart"/>
      <w:r w:rsidRPr="00B413FB">
        <w:rPr>
          <w:rFonts w:ascii="Verdana" w:hAnsi="Verdana"/>
          <w:sz w:val="26"/>
          <w:szCs w:val="26"/>
        </w:rPr>
        <w:t>порядке</w:t>
      </w:r>
      <w:proofErr w:type="gramEnd"/>
      <w:r w:rsidRPr="00B413FB">
        <w:rPr>
          <w:rFonts w:ascii="Verdana" w:hAnsi="Verdana"/>
          <w:sz w:val="26"/>
          <w:szCs w:val="26"/>
        </w:rPr>
        <w:t>, установленном трудовым законодательством применительно к рассмотрению и разрешению индивидуальных трудовых споров.</w:t>
      </w:r>
    </w:p>
    <w:sectPr w:rsidR="00B413FB" w:rsidRPr="00B41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69"/>
    <w:rsid w:val="00824AA0"/>
    <w:rsid w:val="00B413FB"/>
    <w:rsid w:val="00C12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3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3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суда</dc:creator>
  <cp:keywords/>
  <dc:description/>
  <cp:lastModifiedBy>Консультант суда</cp:lastModifiedBy>
  <cp:revision>2</cp:revision>
  <dcterms:created xsi:type="dcterms:W3CDTF">2025-12-10T10:17:00Z</dcterms:created>
  <dcterms:modified xsi:type="dcterms:W3CDTF">2025-12-10T10:20:00Z</dcterms:modified>
</cp:coreProperties>
</file>