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A7" w:rsidRPr="00C92AFB" w:rsidRDefault="006C2BA7" w:rsidP="006C2BA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:rsidR="006C2BA7" w:rsidRPr="00C92AFB" w:rsidRDefault="006C2BA7" w:rsidP="006C2BA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="0090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заключения договора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гражданин ознакомлен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информацией об ограничениях и запретах, предусмотренных статьями 16 и 17 Федерального закона от 27 июля 2004 № 79-ФЗ «О государственной гражданской службе Российской Федерации» (далее – Федеральный закон от 27 июля 2004 г. № 79-ФЗ), требованиями </w:t>
      </w:r>
      <w:r w:rsidRPr="00C92AFB">
        <w:rPr>
          <w:rFonts w:ascii="Times New Roman" w:eastAsia="Calibri" w:hAnsi="Times New Roman" w:cs="Times New Roman"/>
          <w:sz w:val="26"/>
          <w:szCs w:val="26"/>
        </w:rPr>
        <w:t>Федерального закона от 25 декабря 2008 г. № 273-ФЗ «О противодействии коррупции»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1) признания его недееспособным или ограниченно дееспособным решением суда, вступившим в законную силу;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2) 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3) отказа от прохождения процедуры оформления допуска к сведениям, составляющим государственную и иную охраняемую федеральным </w:t>
      </w:r>
      <w:hyperlink r:id="rId5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6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Порядок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прохождения диспансеризации, </w:t>
      </w:r>
      <w:hyperlink r:id="rId7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перечень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таких заболеваний и </w:t>
      </w:r>
      <w:hyperlink r:id="rId8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форма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плотностью сельского населения, а также в отдаленных и труднодоступных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местностях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6) прекращения гражданства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7) 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8) представления подложных документов или заведомо ложных сведений при поступлении на гражданскую службу;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9) непредставления установленных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10) 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, Федеральным </w:t>
      </w:r>
      <w:hyperlink r:id="rId9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от 25 декабря 2008 г. № 273-ФЗ «О противодействии коррупции» и другими федеральными </w:t>
      </w:r>
      <w:hyperlink r:id="rId10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законами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11) 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Российской Федерации по жалобе гражданина на указанное заключение были обжалованы в суд, –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12) непредставления сведений, предусмотренных </w:t>
      </w:r>
      <w:hyperlink r:id="rId11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статьей 20.2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>В связи с прохождением гражданской службы гражданскому служащему запрещается: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замещать должность гражданской службы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 избрания или назначения на государственную должность, за исключением случаев, установленных </w:t>
      </w:r>
      <w:hyperlink r:id="rId12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частью второй статьи 4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Федерального конституционного закона от 6 ноября 2020 г. № 4-ФКЗ «О Правительстве Российской Федерации» и </w:t>
      </w:r>
      <w:hyperlink r:id="rId13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частью девятой статьи 12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22 декабря 2020 г. № 437-ФЗ «О федеральной территории «Сириус»;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б) избрания на выборную должность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органе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местного самоуправления;</w:t>
      </w:r>
    </w:p>
    <w:p w:rsidR="006C2BA7" w:rsidRPr="00C92AFB" w:rsidRDefault="006C2BA7" w:rsidP="006C2B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в) избрания на оплачиваемую выборную должность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органе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участвовать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управлении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коммерческой или некоммерческой организацией, за исключением следующих случаев: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</w:t>
      </w: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жилищно-строительного, гаражного кооперативов, товарищества собственников недвижимости;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б)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органа;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в) 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4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порядке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г)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д) 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заниматься предпринимательской деятельностью лично или через доверенных лиц;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приобретать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случаях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, установленных федеральным законом, ценные бумаги, по которым может быть получен доход;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</w:t>
      </w: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5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кодексом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использовать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целях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разглашать или использовать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целях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, не связанных с гражданской службой, </w:t>
      </w:r>
      <w:hyperlink r:id="rId16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сведения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использовать должностные полномочия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интересах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прекращать исполнение должностных обязанностей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целях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урегулирования служебного спора;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7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расположенных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инструментами». В случае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8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законодательством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Гражданин после увольнения с гражданской службы не вправе разглашать или использовать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интересах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организаций либо физических лиц </w:t>
      </w:r>
      <w:hyperlink r:id="rId19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сведения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Гражданин, замещавший должность гражданской службы, включенную в </w:t>
      </w:r>
      <w:hyperlink r:id="rId20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перечень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1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комиссии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Граждане, претендующие на замещение должностей государственной службы, обязаны представлять представителю нанимателя (работодателю), иным </w:t>
      </w: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lastRenderedPageBreak/>
        <w:t>уполномоченным лицам, определенным Федеральным законом от 25 декабря 2008 г. № 273-ФЗ 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_________(____________________)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(подпись, инициалы, фамилия)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гражданин ознакомлен со следующей информацией, содержащейся в Федеральном законе от 29 декабря 2012 г. № 273ФЗ «Об образовании в Российской Федерации», Положении 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№ 555. 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в течение 3 лет,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 xml:space="preserve">гражданин выплачивает штраф </w:t>
      </w:r>
      <w:r w:rsidRPr="00C92AFB">
        <w:rPr>
          <w:rFonts w:ascii="Times New Roman" w:eastAsia="Calibri" w:hAnsi="Times New Roman" w:cs="Times New Roman"/>
          <w:sz w:val="26"/>
          <w:szCs w:val="26"/>
        </w:rPr>
        <w:t>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федерального бюджета (далее – штраф).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Штраф с гражданина взимается: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был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осуществлённых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б)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трудовой деятельности.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Гражданин, обязанный выплатить штраф, не позднее 12 месяцев со дня получения требования к выплате штрафа выплачивает штраф посредством перечисления денежных средств на лицевой счет, указанный в требовании к выплате штрафа.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Администратор доходов федерального бюджета осуществляет мониторинг выплаты штрафа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_________(____________________)</w:t>
      </w:r>
      <w:proofErr w:type="gramEnd"/>
    </w:p>
    <w:p w:rsidR="006C2BA7" w:rsidRPr="00C92AFB" w:rsidRDefault="006C2BA7" w:rsidP="006C2BA7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(подпись, инициалы, фамилия)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087442" w:rsidRDefault="00087442"/>
    <w:sectPr w:rsidR="0008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A7"/>
    <w:rsid w:val="00087442"/>
    <w:rsid w:val="00327527"/>
    <w:rsid w:val="006C2BA7"/>
    <w:rsid w:val="0090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13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18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FEF85F22D993E4FA3092AD2CBC08D9FD5747BBFB6FC0E9ECE01208124101AD83DD04626320BAA97B36E8E7DCAE7AM" TargetMode="External"/><Relationship Id="rId7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2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17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0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1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5" Type="http://schemas.openxmlformats.org/officeDocument/2006/relationships/hyperlink" Target="consultantplus://offline/ref=7DFEF85F22D993E4FA3092AD2CBC08D9F7564AB0FC6D9DE3E4B91E0A154E5EA896CC5C6F603DA4AA662AEAE5AD7CM" TargetMode="External"/><Relationship Id="rId15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DFEF85F22D993E4FA3092AD2CBC08D9FA5546B1F960C0E9ECE01208124101AD83DD04626320BAA97B36E8E7DCAE7AM" TargetMode="External"/><Relationship Id="rId19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EF85F22D993E4FA3092AD2CBC08D9FA5546B1F96EC0E9ECE01208124101AD91DD5C6E6228F0F83C7DE7E7DDF64394D10DBFD2A677M" TargetMode="External"/><Relationship Id="rId14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3258</Words>
  <Characters>18572</Characters>
  <Application>Microsoft Office Word</Application>
  <DocSecurity>4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2026-05-12T04:08:00Z</dcterms:created>
  <dcterms:modified xsi:type="dcterms:W3CDTF">2026-05-12T04:08:00Z</dcterms:modified>
</cp:coreProperties>
</file>