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11.10.2017 N 18-4/10/В-7931</w:t>
              <w:br/>
              <w:t xml:space="preserve">&lt;О направлении Рекомендаций&gt;</w:t>
              <w:br/>
              <w:t xml:space="preserve">(вместе с "Рекомендациями по соблюдению государственными (муниципальными) служащими норм этики в целях противодействия коррупции и иным правонарушениям")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11 октября 2017 г. N 18-4/10/В-7931</w:t>
      </w:r>
    </w:p>
    <w:p>
      <w:pPr>
        <w:pStyle w:val="0"/>
        <w:jc w:val="both"/>
      </w:pPr>
      <w:r>
        <w:rPr>
          <w:sz w:val="20"/>
        </w:rPr>
      </w:r>
    </w:p>
    <w:p>
      <w:pPr>
        <w:pStyle w:val="0"/>
        <w:ind w:firstLine="540"/>
        <w:jc w:val="both"/>
      </w:pPr>
      <w:r>
        <w:rPr>
          <w:sz w:val="20"/>
        </w:rPr>
        <w:t xml:space="preserve">В рамках осуществления полномочий, предусмотренных </w:t>
      </w:r>
      <w:hyperlink w:history="0" r:id="rId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направляет для использования в работе Рекомендации по соблюдению государственными (муниципальными) служащими норм этики в целях противодействия коррупции и иным правонарушениям (далее - Рекомендации).</w:t>
      </w:r>
    </w:p>
    <w:p>
      <w:pPr>
        <w:pStyle w:val="0"/>
        <w:spacing w:before="200" w:line-rule="auto"/>
        <w:ind w:firstLine="540"/>
        <w:jc w:val="both"/>
      </w:pPr>
      <w:r>
        <w:rPr>
          <w:sz w:val="20"/>
        </w:rPr>
        <w:t xml:space="preserve">Рекомендации разработаны для обеспечения соблюдения государственными (муниципальными) служащими основных антикоррупционных ограничений, запретов и требований, установленных федеральными законами, а также принципов служебного поведения, предусмотренных </w:t>
      </w:r>
      <w:hyperlink w:history="0" r:id="rId8"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Указом</w:t>
        </w:r>
      </w:hyperlink>
      <w:r>
        <w:rPr>
          <w:sz w:val="20"/>
        </w:rPr>
        <w:t xml:space="preserve"> Президента Российской Федерации от 12 августа 2002 г. N 885 "Об утверждении общих принципов служебного поведения государственных служащих" и </w:t>
      </w:r>
      <w:hyperlink w:history="0" r:id="rId9" w:tooltip="&quot;Типовой кодекс этики и служебного поведения государственных служащих Российской Федерации и муниципальных служащих&quot; (одобрен решением президиума Совета при Президенте РФ по противодействию коррупции от 23 декабря 2010 г. (протокол N 21)) {КонсультантПлюс}">
        <w:r>
          <w:rPr>
            <w:sz w:val="20"/>
            <w:color w:val="0000ff"/>
          </w:rPr>
          <w:t xml:space="preserve">Типовым кодексом</w:t>
        </w:r>
      </w:hyperlink>
      <w:r>
        <w:rPr>
          <w:sz w:val="20"/>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(протокол N 21).</w:t>
      </w:r>
    </w:p>
    <w:p>
      <w:pPr>
        <w:pStyle w:val="0"/>
        <w:spacing w:before="200" w:line-rule="auto"/>
        <w:ind w:firstLine="540"/>
        <w:jc w:val="both"/>
      </w:pPr>
      <w:r>
        <w:rPr>
          <w:sz w:val="20"/>
        </w:rPr>
        <w:t xml:space="preserve">Просим довести прилагаемые </w:t>
      </w:r>
      <w:hyperlink w:history="0" w:anchor="P22" w:tooltip="РЕКОМЕНДАЦИИ">
        <w:r>
          <w:rPr>
            <w:sz w:val="20"/>
            <w:color w:val="0000ff"/>
          </w:rPr>
          <w:t xml:space="preserve">Рекомендации</w:t>
        </w:r>
      </w:hyperlink>
      <w:r>
        <w:rPr>
          <w:sz w:val="20"/>
        </w:rP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федеральных государственных служащих, замещающих руководящие должности, а также обеспечить на системной основе широкое информирование федеральных государственных служащих об основных положениях </w:t>
      </w:r>
      <w:hyperlink w:history="0" w:anchor="P22" w:tooltip="РЕКОМЕНДАЦИИ">
        <w:r>
          <w:rPr>
            <w:sz w:val="20"/>
            <w:color w:val="0000ff"/>
          </w:rPr>
          <w:t xml:space="preserve">Рекомендаций</w:t>
        </w:r>
      </w:hyperlink>
      <w:r>
        <w:rPr>
          <w:sz w:val="20"/>
        </w:rPr>
        <w:t xml:space="preserve">.</w:t>
      </w:r>
    </w:p>
    <w:p>
      <w:pPr>
        <w:pStyle w:val="0"/>
        <w:spacing w:before="200" w:line-rule="auto"/>
        <w:ind w:firstLine="540"/>
        <w:jc w:val="both"/>
      </w:pPr>
      <w:r>
        <w:rPr>
          <w:sz w:val="20"/>
        </w:rPr>
        <w:t xml:space="preserve">Предлагаем также использовать </w:t>
      </w:r>
      <w:hyperlink w:history="0" w:anchor="P22" w:tooltip="РЕКОМЕНДАЦИИ">
        <w:r>
          <w:rPr>
            <w:sz w:val="20"/>
            <w:color w:val="0000ff"/>
          </w:rPr>
          <w:t xml:space="preserve">Рекомендации</w:t>
        </w:r>
      </w:hyperlink>
      <w:r>
        <w:rPr>
          <w:sz w:val="20"/>
        </w:rPr>
        <w:t xml:space="preserve">:</w:t>
      </w:r>
    </w:p>
    <w:p>
      <w:pPr>
        <w:pStyle w:val="0"/>
        <w:spacing w:before="200" w:line-rule="auto"/>
        <w:ind w:firstLine="540"/>
        <w:jc w:val="both"/>
      </w:pPr>
      <w:r>
        <w:rPr>
          <w:sz w:val="20"/>
        </w:rPr>
        <w:t xml:space="preserve">при подготовке методических и иных разъяснительных материалов по вопросам соблюдения антикоррупционных ограничений, запретов и требований, а также этических норм и правил федеральными государственными служащими и иными лицами, на которых распространяются антикоррупционные стандарты с учетом особенностей их правового статуса;</w:t>
      </w:r>
    </w:p>
    <w:p>
      <w:pPr>
        <w:pStyle w:val="0"/>
        <w:spacing w:before="200" w:line-rule="auto"/>
        <w:ind w:firstLine="540"/>
        <w:jc w:val="both"/>
      </w:pPr>
      <w:r>
        <w:rPr>
          <w:sz w:val="20"/>
        </w:rPr>
        <w:t xml:space="preserve">в деятельности комиссий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в рамках разъяснительных мероприятий, проводимых с федеральными государственными служащими, а также с гражданами, поступающими на федеральную государственную службу.</w:t>
      </w:r>
    </w:p>
    <w:p>
      <w:pPr>
        <w:pStyle w:val="0"/>
        <w:jc w:val="both"/>
      </w:pPr>
      <w:r>
        <w:rPr>
          <w:sz w:val="20"/>
        </w:rPr>
      </w:r>
    </w:p>
    <w:p>
      <w:pPr>
        <w:pStyle w:val="0"/>
        <w:jc w:val="right"/>
      </w:pPr>
      <w:r>
        <w:rPr>
          <w:sz w:val="20"/>
        </w:rPr>
        <w:t xml:space="preserve">М.А.ТОПИЛИН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bookmarkStart w:id="22" w:name="P22"/>
    <w:bookmarkEnd w:id="22"/>
    <w:p>
      <w:pPr>
        <w:pStyle w:val="2"/>
        <w:jc w:val="center"/>
      </w:pPr>
      <w:r>
        <w:rPr>
          <w:sz w:val="20"/>
        </w:rPr>
        <w:t xml:space="preserve">РЕКОМЕНДАЦИИ</w:t>
      </w:r>
    </w:p>
    <w:p>
      <w:pPr>
        <w:pStyle w:val="2"/>
        <w:jc w:val="center"/>
      </w:pPr>
      <w:r>
        <w:rPr>
          <w:sz w:val="20"/>
        </w:rPr>
        <w:t xml:space="preserve">ПО СОБЛЮДЕНИЮ ГОСУДАРСТВЕННЫМИ (МУНИЦИПАЛЬНЫМИ) СЛУЖАЩИМИ</w:t>
      </w:r>
    </w:p>
    <w:p>
      <w:pPr>
        <w:pStyle w:val="2"/>
        <w:jc w:val="center"/>
      </w:pPr>
      <w:r>
        <w:rPr>
          <w:sz w:val="20"/>
        </w:rPr>
        <w:t xml:space="preserve">НОРМ ЭТИКИ В ЦЕЛЯХ ПРОТИВОДЕЙСТВИЯ КОРРУПЦИИ</w:t>
      </w:r>
    </w:p>
    <w:p>
      <w:pPr>
        <w:pStyle w:val="2"/>
        <w:jc w:val="center"/>
      </w:pPr>
      <w:r>
        <w:rPr>
          <w:sz w:val="20"/>
        </w:rPr>
        <w:t xml:space="preserve">И ИНЫМ ПРАВОНАРУШЕНИЯМ</w:t>
      </w:r>
    </w:p>
    <w:p>
      <w:pPr>
        <w:pStyle w:val="0"/>
        <w:jc w:val="both"/>
      </w:pPr>
      <w:r>
        <w:rPr>
          <w:sz w:val="20"/>
        </w:rPr>
      </w:r>
    </w:p>
    <w:p>
      <w:pPr>
        <w:pStyle w:val="0"/>
        <w:ind w:firstLine="540"/>
        <w:jc w:val="both"/>
      </w:pPr>
      <w:r>
        <w:rPr>
          <w:sz w:val="20"/>
        </w:rP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Принципы служебного поведения государственных служащих также содержатся в </w:t>
      </w:r>
      <w:hyperlink w:history="0" r:id="rId10"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Указе</w:t>
        </w:r>
      </w:hyperlink>
      <w:r>
        <w:rPr>
          <w:sz w:val="20"/>
        </w:rPr>
        <w:t xml:space="preserve"> Президента Российской Федерации от 12 августа 2002 г. N 885 и </w:t>
      </w:r>
      <w:hyperlink w:history="0" r:id="rId11" w:tooltip="&quot;Типовой кодекс этики и служебного поведения государственных служащих Российской Федерации и муниципальных служащих&quot; (одобрен решением президиума Совета при Президенте РФ по противодействию коррупции от 23 декабря 2010 г. (протокол N 21)) {КонсультантПлюс}">
        <w:r>
          <w:rPr>
            <w:sz w:val="20"/>
            <w:color w:val="0000ff"/>
          </w:rPr>
          <w:t xml:space="preserve">Типовом кодексе</w:t>
        </w:r>
      </w:hyperlink>
      <w:r>
        <w:rPr>
          <w:sz w:val="20"/>
        </w:rP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
    <w:p>
      <w:pPr>
        <w:pStyle w:val="0"/>
        <w:spacing w:before="200" w:line-rule="auto"/>
        <w:ind w:firstLine="540"/>
        <w:jc w:val="both"/>
      </w:pPr>
      <w:r>
        <w:rPr>
          <w:sz w:val="20"/>
        </w:rPr>
        <w:t xml:space="preserve">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pPr>
        <w:pStyle w:val="0"/>
        <w:spacing w:before="200" w:line-rule="auto"/>
        <w:ind w:firstLine="540"/>
        <w:jc w:val="both"/>
      </w:pPr>
      <w:r>
        <w:rPr>
          <w:sz w:val="20"/>
        </w:rPr>
        <w:t xml:space="preserve">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 обращают на себя внимание общества, включая средства массовой информации, в том числе и во внеслужебное время.</w:t>
      </w:r>
    </w:p>
    <w:p>
      <w:pPr>
        <w:pStyle w:val="0"/>
        <w:spacing w:before="200" w:line-rule="auto"/>
        <w:ind w:firstLine="540"/>
        <w:jc w:val="both"/>
      </w:pPr>
      <w:r>
        <w:rPr>
          <w:sz w:val="20"/>
        </w:rPr>
        <w:t xml:space="preserve">Служащие, замещающие руководящие должности, своим личным примером формируют правила поведения подчиненных.</w:t>
      </w:r>
    </w:p>
    <w:p>
      <w:pPr>
        <w:pStyle w:val="0"/>
        <w:spacing w:before="200" w:line-rule="auto"/>
        <w:ind w:firstLine="540"/>
        <w:jc w:val="both"/>
      </w:pPr>
      <w:r>
        <w:rPr>
          <w:sz w:val="20"/>
        </w:rPr>
        <w:t xml:space="preserve">Вне зависимости от занимаемой должности необходимо помнить, что служащий не должен совершать поступки, порочащие его честь и достоинство.</w:t>
      </w:r>
    </w:p>
    <w:p>
      <w:pPr>
        <w:pStyle w:val="0"/>
        <w:spacing w:before="200" w:line-rule="auto"/>
        <w:ind w:firstLine="540"/>
        <w:jc w:val="both"/>
      </w:pPr>
      <w:r>
        <w:rPr>
          <w:sz w:val="20"/>
        </w:rPr>
        <w:t xml:space="preserve">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pPr>
        <w:pStyle w:val="0"/>
        <w:spacing w:before="200" w:line-rule="auto"/>
        <w:ind w:firstLine="540"/>
        <w:jc w:val="both"/>
      </w:pPr>
      <w:r>
        <w:rPr>
          <w:sz w:val="20"/>
        </w:rPr>
        <w:t xml:space="preserve">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pPr>
        <w:pStyle w:val="0"/>
        <w:spacing w:before="200" w:line-rule="auto"/>
        <w:ind w:firstLine="540"/>
        <w:jc w:val="both"/>
      </w:pPr>
      <w:r>
        <w:rPr>
          <w:sz w:val="20"/>
        </w:rPr>
        <w:t xml:space="preserve">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pPr>
        <w:pStyle w:val="0"/>
        <w:spacing w:before="200" w:line-rule="auto"/>
        <w:ind w:firstLine="540"/>
        <w:jc w:val="both"/>
      </w:pPr>
      <w:r>
        <w:rPr>
          <w:sz w:val="20"/>
        </w:rPr>
        <w:t xml:space="preserve">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pPr>
        <w:pStyle w:val="0"/>
        <w:spacing w:before="200" w:line-rule="auto"/>
        <w:ind w:firstLine="540"/>
        <w:jc w:val="both"/>
      </w:pPr>
      <w:r>
        <w:rPr>
          <w:sz w:val="20"/>
        </w:rPr>
        <w:t xml:space="preserve">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pPr>
        <w:pStyle w:val="0"/>
        <w:spacing w:before="200" w:line-rule="auto"/>
        <w:ind w:firstLine="540"/>
        <w:jc w:val="both"/>
      </w:pPr>
      <w:r>
        <w:rPr>
          <w:sz w:val="20"/>
        </w:rPr>
        <w:t xml:space="preserve">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pPr>
        <w:pStyle w:val="0"/>
        <w:spacing w:before="200" w:line-rule="auto"/>
        <w:ind w:firstLine="540"/>
        <w:jc w:val="both"/>
      </w:pPr>
      <w:r>
        <w:rPr>
          <w:sz w:val="20"/>
        </w:rPr>
        <w:t xml:space="preserve">- честность;</w:t>
      </w:r>
    </w:p>
    <w:p>
      <w:pPr>
        <w:pStyle w:val="0"/>
        <w:spacing w:before="200" w:line-rule="auto"/>
        <w:ind w:firstLine="540"/>
        <w:jc w:val="both"/>
      </w:pPr>
      <w:r>
        <w:rPr>
          <w:sz w:val="20"/>
        </w:rPr>
        <w:t xml:space="preserve">- беспристрастность.</w:t>
      </w:r>
    </w:p>
    <w:p>
      <w:pPr>
        <w:pStyle w:val="0"/>
        <w:spacing w:before="200" w:line-rule="auto"/>
        <w:ind w:firstLine="540"/>
        <w:jc w:val="both"/>
      </w:pPr>
      <w:r>
        <w:rPr>
          <w:sz w:val="20"/>
        </w:rPr>
        <w:t xml:space="preserve">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pPr>
        <w:pStyle w:val="0"/>
        <w:spacing w:before="200" w:line-rule="auto"/>
        <w:ind w:firstLine="540"/>
        <w:jc w:val="both"/>
      </w:pPr>
      <w:r>
        <w:rPr>
          <w:sz w:val="20"/>
        </w:rPr>
        <w:t xml:space="preserve">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w:t>
      </w:r>
    </w:p>
    <w:p>
      <w:pPr>
        <w:pStyle w:val="0"/>
        <w:spacing w:before="200" w:line-rule="auto"/>
        <w:ind w:firstLine="540"/>
        <w:jc w:val="both"/>
      </w:pPr>
      <w:r>
        <w:rPr>
          <w:sz w:val="20"/>
        </w:rPr>
        <w:t xml:space="preserve">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pPr>
        <w:pStyle w:val="0"/>
        <w:jc w:val="both"/>
      </w:pPr>
      <w:r>
        <w:rPr>
          <w:sz w:val="20"/>
        </w:rPr>
      </w:r>
    </w:p>
    <w:p>
      <w:pPr>
        <w:pStyle w:val="2"/>
        <w:outlineLvl w:val="1"/>
        <w:ind w:firstLine="540"/>
        <w:jc w:val="both"/>
      </w:pPr>
      <w:r>
        <w:rPr>
          <w:sz w:val="20"/>
        </w:rPr>
        <w:t xml:space="preserve">1. Внеслужебное общение с заинтересованными лицами.</w:t>
      </w:r>
    </w:p>
    <w:p>
      <w:pPr>
        <w:pStyle w:val="0"/>
        <w:spacing w:before="200" w:line-rule="auto"/>
        <w:ind w:firstLine="540"/>
        <w:jc w:val="both"/>
      </w:pPr>
      <w:r>
        <w:rPr>
          <w:sz w:val="20"/>
        </w:rPr>
        <w:t xml:space="preserve">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pPr>
        <w:pStyle w:val="0"/>
        <w:spacing w:before="200" w:line-rule="auto"/>
        <w:ind w:firstLine="540"/>
        <w:jc w:val="both"/>
      </w:pPr>
      <w:r>
        <w:rPr>
          <w:sz w:val="20"/>
        </w:rPr>
        <w:t xml:space="preserve">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pPr>
        <w:pStyle w:val="0"/>
        <w:spacing w:before="200" w:line-rule="auto"/>
        <w:ind w:firstLine="540"/>
        <w:jc w:val="both"/>
      </w:pPr>
      <w:r>
        <w:rPr>
          <w:sz w:val="20"/>
        </w:rPr>
        <w:t xml:space="preserve">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pPr>
        <w:pStyle w:val="0"/>
        <w:spacing w:before="200" w:line-rule="auto"/>
        <w:ind w:firstLine="540"/>
        <w:jc w:val="both"/>
      </w:pPr>
      <w:r>
        <w:rPr>
          <w:sz w:val="20"/>
        </w:rPr>
        <w:t xml:space="preserve">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pPr>
        <w:pStyle w:val="0"/>
        <w:jc w:val="both"/>
      </w:pPr>
      <w:r>
        <w:rPr>
          <w:sz w:val="20"/>
        </w:rPr>
      </w:r>
    </w:p>
    <w:p>
      <w:pPr>
        <w:pStyle w:val="2"/>
        <w:outlineLvl w:val="1"/>
        <w:ind w:firstLine="540"/>
        <w:jc w:val="both"/>
      </w:pPr>
      <w:r>
        <w:rPr>
          <w:sz w:val="20"/>
        </w:rPr>
        <w:t xml:space="preserve">2. Использование должностного статуса для получения личных преимуществ.</w:t>
      </w:r>
    </w:p>
    <w:p>
      <w:pPr>
        <w:pStyle w:val="0"/>
        <w:spacing w:before="200" w:line-rule="auto"/>
        <w:ind w:firstLine="540"/>
        <w:jc w:val="both"/>
      </w:pPr>
      <w:r>
        <w:rPr>
          <w:sz w:val="20"/>
        </w:rPr>
        <w:t xml:space="preserve">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pPr>
        <w:pStyle w:val="0"/>
        <w:spacing w:before="200" w:line-rule="auto"/>
        <w:ind w:firstLine="540"/>
        <w:jc w:val="both"/>
      </w:pPr>
      <w:r>
        <w:rPr>
          <w:sz w:val="20"/>
        </w:rPr>
        <w:t xml:space="preserve">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pPr>
        <w:pStyle w:val="0"/>
        <w:spacing w:before="200" w:line-rule="auto"/>
        <w:ind w:firstLine="540"/>
        <w:jc w:val="both"/>
      </w:pPr>
      <w:r>
        <w:rPr>
          <w:sz w:val="20"/>
        </w:rPr>
        <w:t xml:space="preserve">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pPr>
        <w:pStyle w:val="0"/>
        <w:spacing w:before="200" w:line-rule="auto"/>
        <w:ind w:firstLine="540"/>
        <w:jc w:val="both"/>
      </w:pPr>
      <w:r>
        <w:rPr>
          <w:sz w:val="20"/>
        </w:rPr>
        <w:t xml:space="preserve">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pPr>
        <w:pStyle w:val="0"/>
        <w:spacing w:before="200" w:line-rule="auto"/>
        <w:ind w:firstLine="540"/>
        <w:jc w:val="both"/>
      </w:pPr>
      <w:r>
        <w:rPr>
          <w:sz w:val="20"/>
        </w:rPr>
        <w:t xml:space="preserve">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pPr>
        <w:pStyle w:val="0"/>
        <w:spacing w:before="200" w:line-rule="auto"/>
        <w:ind w:firstLine="540"/>
        <w:jc w:val="both"/>
      </w:pPr>
      <w:r>
        <w:rPr>
          <w:sz w:val="20"/>
        </w:rPr>
        <w:t xml:space="preserve">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pPr>
        <w:pStyle w:val="0"/>
        <w:jc w:val="both"/>
      </w:pPr>
      <w:r>
        <w:rPr>
          <w:sz w:val="20"/>
        </w:rPr>
      </w:r>
    </w:p>
    <w:p>
      <w:pPr>
        <w:pStyle w:val="2"/>
        <w:outlineLvl w:val="1"/>
        <w:ind w:firstLine="540"/>
        <w:jc w:val="both"/>
      </w:pPr>
      <w:r>
        <w:rPr>
          <w:sz w:val="20"/>
        </w:rPr>
        <w:t xml:space="preserve">3. Использование имущества, несопоставимого с доходами.</w:t>
      </w:r>
    </w:p>
    <w:p>
      <w:pPr>
        <w:pStyle w:val="0"/>
        <w:spacing w:before="200" w:line-rule="auto"/>
        <w:ind w:firstLine="540"/>
        <w:jc w:val="both"/>
      </w:pPr>
      <w:r>
        <w:rPr>
          <w:sz w:val="20"/>
        </w:rPr>
        <w:t xml:space="preserve">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pPr>
        <w:pStyle w:val="0"/>
        <w:spacing w:before="200" w:line-rule="auto"/>
        <w:ind w:firstLine="540"/>
        <w:jc w:val="both"/>
      </w:pPr>
      <w:r>
        <w:rPr>
          <w:sz w:val="20"/>
        </w:rPr>
        <w:t xml:space="preserve">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pPr>
        <w:pStyle w:val="0"/>
        <w:spacing w:before="200" w:line-rule="auto"/>
        <w:ind w:firstLine="540"/>
        <w:jc w:val="both"/>
      </w:pPr>
      <w:r>
        <w:rPr>
          <w:sz w:val="20"/>
        </w:rPr>
        <w:t xml:space="preserve">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pPr>
        <w:pStyle w:val="0"/>
        <w:jc w:val="both"/>
      </w:pPr>
      <w:r>
        <w:rPr>
          <w:sz w:val="20"/>
        </w:rPr>
      </w:r>
    </w:p>
    <w:p>
      <w:pPr>
        <w:pStyle w:val="2"/>
        <w:outlineLvl w:val="2"/>
        <w:ind w:firstLine="540"/>
        <w:jc w:val="both"/>
      </w:pPr>
      <w:r>
        <w:rPr>
          <w:sz w:val="20"/>
        </w:rPr>
        <w:t xml:space="preserve">Разъяснительная работа</w:t>
      </w:r>
    </w:p>
    <w:p>
      <w:pPr>
        <w:pStyle w:val="0"/>
        <w:spacing w:before="200" w:line-rule="auto"/>
        <w:ind w:firstLine="540"/>
        <w:jc w:val="both"/>
      </w:pPr>
      <w:r>
        <w:rPr>
          <w:sz w:val="20"/>
        </w:rPr>
        <w:t xml:space="preserve">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pPr>
        <w:pStyle w:val="0"/>
        <w:jc w:val="both"/>
      </w:pPr>
      <w:r>
        <w:rPr>
          <w:sz w:val="20"/>
        </w:rPr>
      </w:r>
    </w:p>
    <w:p>
      <w:pPr>
        <w:pStyle w:val="2"/>
        <w:outlineLvl w:val="2"/>
        <w:ind w:firstLine="540"/>
        <w:jc w:val="both"/>
      </w:pPr>
      <w:r>
        <w:rPr>
          <w:sz w:val="20"/>
        </w:rPr>
        <w:t xml:space="preserve">Применение мер ответственности</w:t>
      </w:r>
    </w:p>
    <w:p>
      <w:pPr>
        <w:pStyle w:val="0"/>
        <w:spacing w:before="200" w:line-rule="auto"/>
        <w:ind w:firstLine="540"/>
        <w:jc w:val="both"/>
      </w:pPr>
      <w:r>
        <w:rPr>
          <w:sz w:val="20"/>
        </w:rPr>
        <w:t xml:space="preserve">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pPr>
        <w:pStyle w:val="0"/>
        <w:spacing w:before="200" w:line-rule="auto"/>
        <w:ind w:firstLine="540"/>
        <w:jc w:val="both"/>
      </w:pPr>
      <w:r>
        <w:rPr>
          <w:sz w:val="20"/>
        </w:rPr>
        <w:t xml:space="preserve">указать служащему на недопустимость совершения неэтичного поступка;</w:t>
      </w:r>
    </w:p>
    <w:p>
      <w:pPr>
        <w:pStyle w:val="0"/>
        <w:spacing w:before="200" w:line-rule="auto"/>
        <w:ind w:firstLine="540"/>
        <w:jc w:val="both"/>
      </w:pPr>
      <w:r>
        <w:rPr>
          <w:sz w:val="20"/>
        </w:rPr>
        <w:t xml:space="preserve">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pPr>
        <w:pStyle w:val="0"/>
        <w:spacing w:before="200" w:line-rule="auto"/>
        <w:ind w:firstLine="540"/>
        <w:jc w:val="both"/>
      </w:pPr>
      <w:r>
        <w:rPr>
          <w:sz w:val="20"/>
        </w:rPr>
        <w:t xml:space="preserve">Указание служащему на недопустимость совершения неэтичного поступка может выражаться в:</w:t>
      </w:r>
    </w:p>
    <w:p>
      <w:pPr>
        <w:pStyle w:val="0"/>
        <w:spacing w:before="200" w:line-rule="auto"/>
        <w:ind w:firstLine="540"/>
        <w:jc w:val="both"/>
      </w:pPr>
      <w:r>
        <w:rPr>
          <w:sz w:val="20"/>
        </w:rPr>
        <w:t xml:space="preserve">устном замечании;</w:t>
      </w:r>
    </w:p>
    <w:p>
      <w:pPr>
        <w:pStyle w:val="0"/>
        <w:spacing w:before="200" w:line-rule="auto"/>
        <w:ind w:firstLine="540"/>
        <w:jc w:val="both"/>
      </w:pPr>
      <w:r>
        <w:rPr>
          <w:sz w:val="20"/>
        </w:rPr>
        <w:t xml:space="preserve">предупреждении о недопустимости совершения неэтичного поступка;</w:t>
      </w:r>
    </w:p>
    <w:p>
      <w:pPr>
        <w:pStyle w:val="0"/>
        <w:spacing w:before="200" w:line-rule="auto"/>
        <w:ind w:firstLine="540"/>
        <w:jc w:val="both"/>
      </w:pPr>
      <w:r>
        <w:rPr>
          <w:sz w:val="20"/>
        </w:rPr>
        <w:t xml:space="preserve">требовании о публичном извинении.</w:t>
      </w:r>
    </w:p>
    <w:p>
      <w:pPr>
        <w:pStyle w:val="0"/>
        <w:spacing w:before="200" w:line-rule="auto"/>
        <w:ind w:firstLine="540"/>
        <w:jc w:val="both"/>
      </w:pPr>
      <w:r>
        <w:rPr>
          <w:sz w:val="20"/>
        </w:rPr>
        <w:t xml:space="preserve">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pPr>
        <w:pStyle w:val="0"/>
        <w:spacing w:before="200" w:line-rule="auto"/>
        <w:ind w:firstLine="540"/>
        <w:jc w:val="both"/>
      </w:pPr>
      <w:r>
        <w:rPr>
          <w:sz w:val="20"/>
        </w:rPr>
        <w:t xml:space="preserve">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pPr>
        <w:pStyle w:val="0"/>
        <w:spacing w:before="200" w:line-rule="auto"/>
        <w:ind w:firstLine="540"/>
        <w:jc w:val="both"/>
      </w:pPr>
      <w:r>
        <w:rPr>
          <w:sz w:val="20"/>
        </w:rPr>
        <w:t xml:space="preserve">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pPr>
        <w:pStyle w:val="0"/>
        <w:spacing w:before="200" w:line-rule="auto"/>
        <w:ind w:firstLine="540"/>
        <w:jc w:val="both"/>
      </w:pPr>
      <w:r>
        <w:rPr>
          <w:sz w:val="20"/>
        </w:rPr>
        <w:t xml:space="preserve">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pPr>
        <w:pStyle w:val="0"/>
        <w:spacing w:before="200" w:line-rule="auto"/>
        <w:ind w:firstLine="540"/>
        <w:jc w:val="both"/>
      </w:pPr>
      <w:r>
        <w:rPr>
          <w:sz w:val="20"/>
        </w:rPr>
        <w:t xml:space="preserve">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11.10.2017 N 18-4/10/В-7931</w:t>
            <w:br/>
            <w:t>&lt;О направлении Рекомендаций&gt;</w:t>
            <w:br/>
            <w:t>(вместе с "Рекомендациями по соблюд...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138&amp;dst=100235" TargetMode = "External"/>
	<Relationship Id="rId8" Type="http://schemas.openxmlformats.org/officeDocument/2006/relationships/hyperlink" Target="https://login.consultant.ru/link/?req=doc&amp;base=LAW&amp;n=393702&amp;dst=100050" TargetMode = "External"/>
	<Relationship Id="rId9" Type="http://schemas.openxmlformats.org/officeDocument/2006/relationships/hyperlink" Target="https://login.consultant.ru/link/?req=doc&amp;base=LAW&amp;n=113505&amp;dst=100024" TargetMode = "External"/>
	<Relationship Id="rId10" Type="http://schemas.openxmlformats.org/officeDocument/2006/relationships/hyperlink" Target="https://login.consultant.ru/link/?req=doc&amp;base=LAW&amp;n=393702&amp;dst=100050" TargetMode = "External"/>
	<Relationship Id="rId11" Type="http://schemas.openxmlformats.org/officeDocument/2006/relationships/hyperlink" Target="https://login.consultant.ru/link/?req=doc&amp;base=LAW&amp;n=113505&amp;dst=10002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11.10.2017 N 18-4/10/В-7931
&lt;О направлении Рекомендаций&gt;
(вместе с "Рекомендациями по соблюдению государственными (муниципальными) служащими норм этики в целях противодействия коррупции и иным правонарушениям")</dc:title>
  <dcterms:created xsi:type="dcterms:W3CDTF">2024-12-04T12:20:33Z</dcterms:created>
</cp:coreProperties>
</file>