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bookmarkStart w:id="0" w:name="_GoBack"/>
            <w:bookmarkEnd w:id="0"/>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0130C0" w:rsidRDefault="001E4450" w:rsidP="001E4450">
            <w:pPr>
              <w:autoSpaceDE w:val="0"/>
              <w:autoSpaceDN w:val="0"/>
              <w:jc w:val="both"/>
              <w:rPr>
                <w:rFonts w:ascii="Times New Roman" w:eastAsia="Times New Roman" w:hAnsi="Times New Roman"/>
                <w:sz w:val="24"/>
                <w:szCs w:val="28"/>
                <w:lang w:eastAsia="ru-RU"/>
              </w:rPr>
            </w:pPr>
            <w:r w:rsidRPr="001E4450">
              <w:rPr>
                <w:rFonts w:ascii="Times New Roman" w:eastAsia="Times New Roman" w:hAnsi="Times New Roman"/>
                <w:sz w:val="24"/>
                <w:szCs w:val="28"/>
                <w:lang w:eastAsia="ru-RU"/>
              </w:rPr>
              <w:t xml:space="preserve">Председателю </w:t>
            </w:r>
          </w:p>
          <w:p w:rsidR="000130C0" w:rsidRDefault="000130C0" w:rsidP="001E4450">
            <w:pPr>
              <w:autoSpaceDE w:val="0"/>
              <w:autoSpaceDN w:val="0"/>
              <w:jc w:val="both"/>
              <w:rPr>
                <w:rFonts w:ascii="Times New Roman" w:eastAsia="Times New Roman" w:hAnsi="Times New Roman"/>
                <w:sz w:val="24"/>
                <w:szCs w:val="28"/>
                <w:lang w:eastAsia="ru-RU"/>
              </w:rPr>
            </w:pPr>
            <w:r>
              <w:rPr>
                <w:rFonts w:ascii="Times New Roman" w:eastAsia="Times New Roman" w:hAnsi="Times New Roman"/>
                <w:sz w:val="24"/>
                <w:szCs w:val="28"/>
                <w:lang w:eastAsia="ru-RU"/>
              </w:rPr>
              <w:t>Пригородного районного с</w:t>
            </w:r>
            <w:r w:rsidR="001E4450" w:rsidRPr="001E4450">
              <w:rPr>
                <w:rFonts w:ascii="Times New Roman" w:eastAsia="Times New Roman" w:hAnsi="Times New Roman"/>
                <w:sz w:val="24"/>
                <w:szCs w:val="28"/>
                <w:lang w:eastAsia="ru-RU"/>
              </w:rPr>
              <w:t xml:space="preserve">уда </w:t>
            </w:r>
          </w:p>
          <w:p w:rsidR="001E4450" w:rsidRPr="001E4450" w:rsidRDefault="001E4450" w:rsidP="001E4450">
            <w:pPr>
              <w:autoSpaceDE w:val="0"/>
              <w:autoSpaceDN w:val="0"/>
              <w:jc w:val="both"/>
              <w:rPr>
                <w:rFonts w:ascii="Times New Roman" w:eastAsia="Times New Roman" w:hAnsi="Times New Roman"/>
                <w:szCs w:val="28"/>
                <w:lang w:eastAsia="ru-RU"/>
              </w:rPr>
            </w:pPr>
            <w:r w:rsidRPr="001E4450">
              <w:rPr>
                <w:rFonts w:ascii="Times New Roman" w:eastAsia="Times New Roman" w:hAnsi="Times New Roman"/>
                <w:sz w:val="24"/>
                <w:szCs w:val="28"/>
                <w:lang w:eastAsia="ru-RU"/>
              </w:rPr>
              <w:t xml:space="preserve">Свердловской области </w:t>
            </w:r>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r>
            <w:r>
              <w:rPr>
                <w:rFonts w:ascii="Times New Roman" w:hAnsi="Times New Roman"/>
                <w:sz w:val="28"/>
                <w:szCs w:val="28"/>
              </w:rPr>
              <w:lastRenderedPageBreak/>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FC5CF2"/>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0130C0"/>
    <w:rsid w:val="001E4450"/>
    <w:rsid w:val="00450314"/>
    <w:rsid w:val="008A5019"/>
    <w:rsid w:val="0095173B"/>
    <w:rsid w:val="00AE3439"/>
    <w:rsid w:val="00CD183E"/>
    <w:rsid w:val="00D23619"/>
    <w:rsid w:val="00FC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Александр Обухов</cp:lastModifiedBy>
  <cp:revision>2</cp:revision>
  <dcterms:created xsi:type="dcterms:W3CDTF">2026-04-16T04:23:00Z</dcterms:created>
  <dcterms:modified xsi:type="dcterms:W3CDTF">2026-04-16T04:23:00Z</dcterms:modified>
</cp:coreProperties>
</file>