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E4B" w:rsidRDefault="00096E4B" w:rsidP="00C820E2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096E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Утверждено совместным приказом Арбит</w:t>
      </w:r>
      <w:r w:rsidR="0011589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ражного суда Липецкой области, Л</w:t>
      </w:r>
      <w:r w:rsidRPr="00096E4B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ипецкого областного суда,Управления  Судебного департамента в Липецкой области от </w:t>
      </w:r>
      <w:r w:rsidR="00C820E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29</w:t>
      </w:r>
      <w:r w:rsidR="00C820E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.09.2025 г. № 101/176/О/146</w:t>
      </w:r>
    </w:p>
    <w:p w:rsidR="0021495B" w:rsidRDefault="0021495B" w:rsidP="00C820E2">
      <w:pPr>
        <w:shd w:val="clear" w:color="auto" w:fill="FFFFFF"/>
        <w:spacing w:after="0" w:line="240" w:lineRule="auto"/>
        <w:ind w:left="6372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</w:p>
    <w:p w:rsidR="0021495B" w:rsidRDefault="0021495B" w:rsidP="0021495B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Положение</w:t>
      </w:r>
    </w:p>
    <w:p w:rsidR="00096E4B" w:rsidRPr="0095084A" w:rsidRDefault="00096E4B" w:rsidP="0021495B">
      <w:pPr>
        <w:shd w:val="clear" w:color="auto" w:fill="FFFFFF"/>
        <w:spacing w:after="0" w:line="240" w:lineRule="auto"/>
        <w:ind w:right="5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9508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о Комиссии по соблюдению требований к служебному поведению федеральных государственных гражданских служащих Липецкого областного суда, Арбитражного суда Липецкой области, районных (городских) судов Липецкой области и Управления Судебного департамента в Липецкой области и урегулированию конфликта интересов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 </w:t>
      </w:r>
    </w:p>
    <w:p w:rsidR="00096E4B" w:rsidRPr="0095084A" w:rsidRDefault="00096E4B" w:rsidP="00DD37B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1. Настоящее Положение разработано в соответствии со статьями 18 и 19 Федерального закона от 27 июля 2004 г. № 79-ФЗ «О государственной гражданской службе Российской Федерации» (далее - Федеральный закон), Федеральным законом от 25 декабря 2008 г. № 273-ФЗ «О противодействии коррупции» и «Положением о Комиссиях по соблюдению требований к служебному поведению федеральных государственных гражданских служащих и урегулированию конфликта интересов», утвержденным Указом Президента Российской Федерации от 1 июля 2010 г. №821</w:t>
      </w:r>
      <w:r w:rsidR="00DD37B8" w:rsidRPr="0095084A">
        <w:rPr>
          <w:rFonts w:ascii="Times New Roman" w:hAnsi="Times New Roman"/>
          <w:bCs/>
          <w:sz w:val="26"/>
          <w:szCs w:val="26"/>
          <w:lang w:eastAsia="ru-RU"/>
        </w:rPr>
        <w:t>(ред. от 09.07.2025)</w:t>
      </w:r>
      <w:r w:rsidR="00DD37B8" w:rsidRPr="0095084A">
        <w:rPr>
          <w:rFonts w:ascii="Times New Roman" w:hAnsi="Times New Roman"/>
          <w:b/>
          <w:bCs/>
          <w:sz w:val="26"/>
          <w:szCs w:val="26"/>
          <w:lang w:eastAsia="ru-RU"/>
        </w:rPr>
        <w:t>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36" w:firstLine="56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2. Настоящее Положение определяет порядок формирования и деятельность Комиссии по соблюдению требований к служебному поведению федеральных государственных гражданских служащих Липецкого областного суда, Арбитражного суда Липецкой области, районных (городских) судов Липецкой области и Управления Судебного департамента в Липецкой области (далее Управление) и урегулированию конфликта интересов (далее - Комиссия).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7" w:right="50" w:firstLine="49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3.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актами федеральных органов исполнительной власти, иных государственных органов.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567" w:right="7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4. Основными задачами Комиссии является содействие: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а) в обеспечении соблюдения федеральными государственными гражданскими служащими (далее - гражданские служащие) суда либо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Управления ограничений и запретов, требований о предотвращении или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урегулировании конфликта интересов, а также в обеспечении исполнения ими обязанностей, установленных Федеральным законом от 25 декабря 2008 г.  № 273-ФЗ «О противодействии коррупции»,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2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в осуществлении в суде, либо Управлении мер по предупреждению коррупции.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6"/>
          <w:sz w:val="26"/>
          <w:szCs w:val="26"/>
          <w:lang w:eastAsia="ru-RU"/>
        </w:rPr>
        <w:t>5.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гражданских служащих, замещающих должности федеральной государственной гражданской службы (далее - должности гражданской службы) в суде, либо Управлении.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6. Комиссия образуется совместным приказом начальника Управления и председателей Липецкого областного суда и Арбитражного суда Липецкой области. Указанным актом утверждается состав </w:t>
      </w:r>
      <w:r w:rsidR="000C1363" w:rsidRPr="0095084A">
        <w:rPr>
          <w:rFonts w:ascii="Times New Roman" w:eastAsia="Times New Roman" w:hAnsi="Times New Roman"/>
          <w:sz w:val="26"/>
          <w:szCs w:val="26"/>
          <w:lang w:eastAsia="ru-RU"/>
        </w:rPr>
        <w:t>К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омиссии и порядок ее работы</w:t>
      </w:r>
      <w:r w:rsidR="000C1363" w:rsidRPr="009508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6.</w:t>
      </w:r>
      <w:r w:rsidR="00142D68" w:rsidRPr="0095084A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. Председатель Комиссии и его заместитель избираются из числа членов Комиссии</w:t>
      </w:r>
      <w:r w:rsidR="00CD4EC0" w:rsidRPr="0095084A">
        <w:rPr>
          <w:rFonts w:ascii="Times New Roman" w:eastAsia="Times New Roman" w:hAnsi="Times New Roman"/>
          <w:sz w:val="26"/>
          <w:szCs w:val="26"/>
          <w:lang w:eastAsia="ru-RU"/>
        </w:rPr>
        <w:t>, являющихся гражданскими служащими,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общим голосованием всех членов Комиссии на первом заседании Комиссии, после чего вносятся соответствующие изменения в приказ.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86" w:firstLine="53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Представитель нанимателя не может быть членом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36" w:right="108" w:firstLine="531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3"/>
          <w:sz w:val="26"/>
          <w:szCs w:val="26"/>
          <w:lang w:eastAsia="ru-RU"/>
        </w:rPr>
        <w:t>         7.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В состав Комиссии входят: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а) гражданский служащий Управления, в чьи должностные обязанности входит осуществление противодействия коррупции (секретарь комиссии). В случае необходимости в состав Комиссии дополнительно могут быть включены гражданские служащие иных подразделений Управления;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б) судьи и (или) гражданские служащие Липецкого областного суда;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в) судьи и (или) гражданские служащие Арбитражного суда Липецкой области;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г)судьи и (или) гражданские служащие районных (городских) судов Липецкой области;</w:t>
      </w:r>
    </w:p>
    <w:p w:rsidR="00096E4B" w:rsidRPr="0095084A" w:rsidRDefault="00096E4B" w:rsidP="00313122">
      <w:pPr>
        <w:shd w:val="clear" w:color="auto" w:fill="FFFFFF"/>
        <w:spacing w:after="0" w:line="317" w:lineRule="atLeast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 д) представитель (представители) научных организаций и </w:t>
      </w:r>
      <w:r w:rsidR="00A45667"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профессиональных образовательных организаций,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образовательных </w:t>
      </w:r>
      <w:r w:rsidR="00A45667" w:rsidRPr="0095084A">
        <w:rPr>
          <w:rFonts w:ascii="Times New Roman" w:eastAsia="Times New Roman" w:hAnsi="Times New Roman"/>
          <w:sz w:val="26"/>
          <w:szCs w:val="26"/>
          <w:lang w:eastAsia="ru-RU"/>
        </w:rPr>
        <w:t>организаций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высшего и дополнительного профессионального образования, деятельность которых связана с государственной службой.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 8. Формирование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     8.1. В целях определения лиц, указанных в подпунктах «б» - «д» пункта 7 настоящего Положения, начальник Управления направляет соответствующие запросы председателю Липецкого областного суда, председателю Арбитражного суда Липецкой области, в научные организации </w:t>
      </w:r>
      <w:r w:rsidR="00954378"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и профессиональные образовательные организации, образовательные организации высшего и дополнительного профессионального образования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Липецкой области.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 8.2. Лица, указанные в подпунктах «б» и «г» пункта 7 настоящего Положения, включаются в состав Комиссии в установленном порядке по представлению председателя Липецкого областного суда;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8.3. Лица, указанные в подпункте «в» пункта 7 настоящего Положения, включаются в состав Комиссии в установленном порядке по представлению председателя Арбитражного суда Липецкой области;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      8.4. Лица, указанные в подпункте «д» пункта 7 настоящего Положения, включаются в состав Комиссии в установленном порядке по представлениям руководителей научных организаций и</w:t>
      </w:r>
      <w:r w:rsidR="00954378"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профессиональных образовательных организаций, образовательных организаций высшего и дополнительного профессионального образования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 8.5. Определение лиц, указанных в подпунктах «б» - «д» пункта 7 настоящего Положения осуществляется в 7-дневный срок со дня получения запроса начальника Управления.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3"/>
          <w:sz w:val="26"/>
          <w:szCs w:val="26"/>
          <w:lang w:eastAsia="ru-RU"/>
        </w:rPr>
        <w:t>           9.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Число членов Комиссии, не замещающих должности гражданской службы в Арбитражном суде Липецкой области, Липецком областном суде и Управлении, должно составлять не менее одной четверти от общего числа членов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2" w:right="158" w:firstLine="42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3"/>
          <w:sz w:val="26"/>
          <w:szCs w:val="26"/>
          <w:lang w:eastAsia="ru-RU"/>
        </w:rPr>
        <w:t>10. 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34"/>
          <w:sz w:val="26"/>
          <w:szCs w:val="26"/>
          <w:lang w:eastAsia="ru-RU"/>
        </w:rPr>
        <w:t>            11. 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 заседаниях Комиссии с правом совещательного голоса участвуют: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158" w:firstLine="70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5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непосредственный руководитель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гражданских служащих, замещающих в суде либо в Управлении должности гражданской службы, аналогичные должности, замещаемой гражданским служащим, в отношении которого Комиссией рассматривается этот вопрос;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73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другие федеральные государственные гражданские служащие, замещающие должности федеральной государственной гражданской службы в суде либо Управлении; специалисты, которые могут дать пояснения по вопросам государственной гражданской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федерального государственного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–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федерального государственного гражданского служащего, в отношении которого Комиссией рассматривается этот вопрос, или любого члена Комиссии.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right="144" w:firstLine="51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гражданской службы в судах либо Управлении, недопустимо.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1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        13.При возникновении прямой или косвенной личной заинтересованности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члена Комиссии, которая может привести к конфликту интересов при рассмотрении вопроса, включенного в повестку дня заседания Комиссии,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 14.Основаниями для проведения заседания Комиссии являются: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4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 представление представителем нанимателя в соответствии с пунктом 31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 </w:t>
      </w:r>
      <w:r w:rsidRPr="0095084A">
        <w:rPr>
          <w:rFonts w:ascii="Times New Roman" w:eastAsia="Times New Roman" w:hAnsi="Times New Roman"/>
          <w:spacing w:val="-5"/>
          <w:sz w:val="26"/>
          <w:szCs w:val="26"/>
          <w:lang w:eastAsia="ru-RU"/>
        </w:rPr>
        <w:t>государственными </w:t>
      </w:r>
      <w:r w:rsidRPr="0095084A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служащими,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и </w:t>
      </w:r>
      <w:r w:rsidRPr="0095084A">
        <w:rPr>
          <w:rFonts w:ascii="Times New Roman" w:eastAsia="Times New Roman" w:hAnsi="Times New Roman"/>
          <w:spacing w:val="-4"/>
          <w:sz w:val="26"/>
          <w:szCs w:val="26"/>
          <w:lang w:eastAsia="ru-RU"/>
        </w:rPr>
        <w:t>соблюдения </w:t>
      </w:r>
      <w:r w:rsidRPr="0095084A">
        <w:rPr>
          <w:rFonts w:ascii="Times New Roman" w:eastAsia="Times New Roman" w:hAnsi="Times New Roman"/>
          <w:spacing w:val="-7"/>
          <w:sz w:val="26"/>
          <w:szCs w:val="26"/>
          <w:lang w:eastAsia="ru-RU"/>
        </w:rPr>
        <w:t>федеральными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государственными служащими требований к служебному поведению, утвержденного Указом Президента Российской Федерации от 21 сентября </w:t>
      </w:r>
      <w:r w:rsidRPr="0095084A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2009 г. № 1065, материалов проверки, свидетельствующих: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 представлении гражданским служащим недостоверных или неполных сведений, предусмотренных подпунктом «а» пункта 1 названного Положения;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right="7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 несоблюдении гражданским служащим требований к служебному поведению и (или) требований об урегулировании конфликта интересов;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94" w:right="14" w:firstLine="64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8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084A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поступившее в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отдел по противодействию коррупции и юридическим вопросам Управления, либо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лицу, в должностные обязанности которого входит осуществление работы по профилактике коррупционных правонарушений в суде: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94" w:right="14" w:firstLine="64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обращение гражданина, замещавшего в суде либо Управлении должность гражданской службы, включенную в перечень должностей, утвержденный приказом суда либо Управления,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организации входили в его должностные (служебные) обязанности, до истечения двух лет со дня увольнения с государственной гражданской службы;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36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заявление гражданского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1" w:name="sub_101404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заявление гражданского служащего о невозможности выполнить требования </w:t>
      </w:r>
      <w:bookmarkEnd w:id="1"/>
      <w:r w:rsidR="003A6E8D"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"garantf1://70272954.0/" </w:instrText>
      </w:r>
      <w:r w:rsidR="003A6E8D"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Федерального </w:t>
      </w:r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закон</w:t>
      </w:r>
      <w:proofErr w:type="gramEnd"/>
      <w:r w:rsidR="003A6E8D"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а от 7 мая 2013 г. N 79-ФЗ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– Федеральный закон «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 и  (или) имеются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иностранные финансовые инструменты, или в связи  с иными обстоятельствами не зависящими от его воли или воли его супруги (супруга) и несовершеннолетних детей;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0" w:right="58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в) представление представителем нанимателя или любого члена Комиссии, касающееся обеспечения соблюдения гражданским служащим требований к служебному поведению и (или) требований об урегулировании конфликта интересов либо осуществления в суде либо Управлении мер по предупреждению коррупции;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г) представление представителем нанимателя материалов проверки, свидетельствующих о представлении государственным служащим недостоверных или неполных сведений, предусмотренных частью 1статьи Федерального закона от 3 декабря 2012 г. № 230 – ФЗ «О контроле за соответствием расходов лиц, замещающих государственные должности, и иных лиц их доходам»  (далее – Федеральный закон «О контроле за соответствием расходов лиц, замещающих государственные должности, и иных лиц их доходам»);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д) поступившее в соответствии с частью 4 статьи 12 Федерального закона от 25 декабря 2008 г. № 273 ФЗ – ФЗ «О противодействии коррупции» и статьей 64.1 Трудового кодекса Российской Федерации в суд либо Управление уведомление коммерческой или некоммерческой организации о заключении с гражданином, замещавшим должность государственной службы в суде или в Управлении, трудового или гражданского - 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суде либо Управлении,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или, вопрос о даче согласия такому гражданину на замещение им должности в коммерческой или некоммерческой организации либо на выполнение им работы  на условиях гражданско-правового договора в коммерческой или некоммерческой организации Комиссией не рассматривался;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е) уведомление федерального государственного гражданского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0" w:right="58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</w:t>
      </w:r>
      <w:r w:rsidRPr="0095084A">
        <w:rPr>
          <w:rFonts w:ascii="Times New Roman" w:eastAsia="Times New Roman" w:hAnsi="Times New Roman"/>
          <w:spacing w:val="-26"/>
          <w:sz w:val="26"/>
          <w:szCs w:val="26"/>
          <w:lang w:eastAsia="ru-RU"/>
        </w:rPr>
        <w:t>16.  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Обращение, указанное в абзаце втором </w:t>
      </w:r>
      <w:hyperlink r:id="rId4" w:anchor="sub_10113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подпункта "б" пункта 14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настоящего Положения, подается гражданином, замещавшим должность государственной службы в суде или Управлении, в отдел по вопросам противодействия коррупции и юридическим вопросам Управления (далее отдел ПК и ЮВ Управления) или лицу, в должностные обязанности которого входит осуществление работы по противодействию коррупции в суде.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Отдел ПК и ЮВ Управления или лицо, в должностные обязанности которого входит осуществление работы по противодействию коррупции в суде осуществляет рассмотрение обращения, по результатам которого подготавливается мотивированное заключение по существу обращения с учетом </w:t>
      </w:r>
      <w:hyperlink r:id="rId5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статьи 12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Федерального закона от 25 декабря 2008 г. N 273-ФЗ "О противодействии коррупции". Обращение, заключение и другие материалы в течение 7 рабочих дней направляются по решению представителя нанимателя  председателю Комиссии.      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17. Обращение, указанное в абзаце втором </w:t>
      </w:r>
      <w:hyperlink r:id="rId6" w:anchor="sub_10113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подпункта "б" пункта 14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настоящего Положения, может быть подано гражданским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 18. Уведомление, указанное в </w:t>
      </w:r>
      <w:hyperlink r:id="rId7" w:anchor="sub_10117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подпункте "д" пункта 1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4 настоящего Положения, рассматривается отделом ПК и ЮВ Управления или лицом, в должностные обязанности которого входит осуществление работы по противодействию коррупции в суде, которое осуществляет подготовку мотивированного заключения о соблюдении гражданином, замещавшим должность государственной службы в суде либо в Управлении, требований </w:t>
      </w:r>
      <w:hyperlink r:id="rId8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статьи 12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Федерального закона от 25 декабря 2008 г. N 273-ФЗ "О противодействии коррупции". Уведомление, заключение и другие материалы в течение 7 рабочих дней направляются по решению представителя нанимателя председателю Комиссии</w:t>
      </w:r>
      <w:bookmarkStart w:id="2" w:name="sub_10141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bookmarkEnd w:id="2"/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   19. Уведомления, указанные в абзаце пятом подпункта «б» и подпункте «е» пункта 14 настоящего Положения, рассматриваются должностными лицами суда либо должностными лицами (подразделением) Управления, в компетенцию которых входит профилактика коррупционных и иных правонарушений, которые осуществляют подготовку мотивированных заключений по результатам рассмотрения уведомления. Уведомления, заключения и другие материалы в течение 7 рабочих дней направляются по решению представителя нанимателя председателю Комиссии.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 20. При подготовке мотивированного заключения по результатам рассмотрения обращения, указанного в абзаце втором подпункта «б» пункта 14 настоящего Положения, или уведомлений, указанных в абзаце пятом подпункта «б» и подпунктах «д» и «е» пункта 14 настоящего Положения, должностные лица суда либо Управления, в компетенцию которых входит профилактика коррупционных и иных правонарушений, имеют право проводить собеседование с федеральным государственным гражданским служащим, представившим обращение или уведомление, получать от него письменные пояснения, а руководитель суда либо Управления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20.1. Мотивированные заключения,</w:t>
      </w:r>
      <w:r w:rsidRPr="0095084A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предусмотренные пунктами 16, 18 и 19 настоящего Положения, должные содержать: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информацию, изложенную в обращениях или уведомлениях, указанных в абзацах втором и пятом подпункта «б» и подпунктах «д» и «е» пункта 14 настоящего Положения;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в) мотивированный вывод по результатам предварительного рассмотрения обращений и уведомлений, указанных в абзацах втором и пятом подпункта «б», подпунктах «д» и «е» пункта 14 настоящего Положения, а также рекомендации для принятия одного из решений в соответствии с пунктами 34, 37, 40, 41 настоящего положения или иного решения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 21. Материалы проверки, указанные в абзацах втором и третьем подпункта «а» подпункте «г» пункта 14 настоящего Положения, в течение 7 рабочих дней  направляются председателю Комиссии.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 22. Заявления, указанные в абзацах третьем и четвертом подпункта «б» пункта 14 настоящего Положения, и материалы к ним в течение 7 рабочих дней  направляются по решению нанимателя председателю Комиссии.</w:t>
      </w:r>
    </w:p>
    <w:p w:rsidR="00096E4B" w:rsidRPr="0095084A" w:rsidRDefault="00096E4B" w:rsidP="00096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 23. Представление председателя суда либо начальника Управления или любого члена Комиссии, указанное в подпункте «в» пункта 14 настоящего Положения, и материалы к нему в течение 7 рабочих дней направляются председателю Комиссии.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right="86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9"/>
          <w:sz w:val="26"/>
          <w:szCs w:val="26"/>
          <w:lang w:eastAsia="ru-RU"/>
        </w:rPr>
        <w:t>24.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Председатель Комиссии при поступлении к нему информации, содержащей основания для проведения заседания Комиссии: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36" w:right="94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8"/>
          <w:sz w:val="26"/>
          <w:szCs w:val="26"/>
          <w:lang w:eastAsia="ru-RU"/>
        </w:rPr>
        <w:lastRenderedPageBreak/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в 10-дневный срок назначает дату, время и место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26 и 27 настоящего Положения;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организует ознакомление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членов Комиссии и других лиц, участвующих в заседании Комиссии, с поступившей информацией и с результатами ее проверки;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в)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рассматривает ходатайства о приглашении на заседание Комиссии лиц, указанных в подпункте «б» пункта 11 настоящего Положения, принимает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решение об их удовлетворении (об отказе в удовлетворении) и о рассмотрении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(об отказе в рассмотрении) в ходе заседания Комиссии дополнительных материалов.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25. Секретарь комиссии по поручению председателя комиссии: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осуществляет организационно-техническое и документационное обеспечение деятельности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подготавливает проекты запросов (кроме запросов, касающихся осуществления оперативно-разыскной деятельности или ее результатов) в органы прокуратуры Российской Федерации, в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 о соблюдении государственным служащим требований к служебному поведению;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извещает членов Комиссии о дате, времени и месте заседания, а также о вопросах, включенных в повестку дня, не позднее 7 рабочих  дней до дня заседания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извещает государственного служащего, в отношении которого Комиссией рассматривается вопрос  о соблюдении требований к служебному поведению и (или) требований об урегулировании конфликта интересов, его представителя (при наличии) и других лиц, участвующих в заседании Комиссии, о дате, времени и месте заседания не позднее 7 рабочих дней до дня заседания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ведет протоколирование заседания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выполняет иные поручения председателя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Секретарь Комиссии при принятии решений обладает правами члена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26. Заседание Комиссии по рассмотрению заявлений, указанных в абзацах третьем и  четвертом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расходах, об имуществе и обязательствах имущественного характера.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2" w:right="122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27. Уведомления, указанные в подпунктах «д» и «е» пункта 14 настоящего Положения, как правило, рассматривается на очередном (плановом) заседании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9"/>
          <w:sz w:val="26"/>
          <w:szCs w:val="26"/>
          <w:lang w:eastAsia="ru-RU"/>
        </w:rPr>
        <w:t>28.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Заседание Комиссии проводится, как правило, в присутствии федерального государственного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в суде или управлении. О намерении лично присутствовать на заседании Комиссии федеральный государственный гражданский служащий или гражданин указывает в обращении, заявлении или уведомлении, представляемых в соответствии подпунктами «б» и «е» пункта 14 настоящего Положения председателю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29. Заседания Комиссии могут проводиться в отсутствии гражданского служащего или гражданина в случае: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 если в обращении, заявлении или уведомлении, предусмотренных подпунктами «б» и «е» пункта 14 настоящего Положения, не содержится указания о намерении федерального государственного гражданского служащего или гражданина лично присутствовать на заседании Комиссии;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если гражданский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 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44" w:firstLine="75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38"/>
          <w:sz w:val="26"/>
          <w:szCs w:val="26"/>
          <w:lang w:eastAsia="ru-RU"/>
        </w:rPr>
        <w:t>30.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 На заседании Комиссии заслушиваются пояснения гражданского служащего или гражданина, замещавшего должность в суде или Управлении (с его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51" w:firstLine="77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35"/>
          <w:sz w:val="26"/>
          <w:szCs w:val="26"/>
          <w:lang w:eastAsia="ru-RU"/>
        </w:rPr>
        <w:t>31.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7" w:right="144" w:firstLine="74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29"/>
          <w:sz w:val="26"/>
          <w:szCs w:val="26"/>
          <w:lang w:eastAsia="ru-RU"/>
        </w:rPr>
        <w:t>32.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5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 установить, что сведения, представленные гражданским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сентября 2009 г. № 1065, являются достоверными и полными;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58" w:right="29" w:firstLine="73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 установить, что сведения, представленные гражданским служащим в соответствии с подпунктом «а» пункта 1 вышеуказанного Положения, являются недостоверными и (или) неполными (в этом случае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Комиссия рекомендует председателю суда либо начальнику Управления применить к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гражданскому служащему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36" w:right="36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1"/>
          <w:sz w:val="26"/>
          <w:szCs w:val="26"/>
          <w:lang w:eastAsia="ru-RU"/>
        </w:rPr>
        <w:t>33.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43" w:right="36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установить, что гражданский служащий соблюдал требования к служебному поведению и (или) требования об урегулировании конфликта интересов;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43" w:right="43" w:firstLine="713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установить, что гражданский служащий не соблюдал требования к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служебному поведению и (или) требования об урегулировании конфликта интересов (в этом случае Комиссия рекомендует представителю нанимателя указать гражданскому служащему на недопустимость нарушения требований к служебному поведению и (или) требований об урегулировании конфликта интересов, либо применить к </w:t>
      </w:r>
      <w:r w:rsidRPr="0095084A">
        <w:rPr>
          <w:rFonts w:ascii="Times New Roman" w:eastAsia="Times New Roman" w:hAnsi="Times New Roman"/>
          <w:spacing w:val="-2"/>
          <w:sz w:val="26"/>
          <w:szCs w:val="26"/>
          <w:lang w:eastAsia="ru-RU"/>
        </w:rPr>
        <w:t>гражданскому служащему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36" w:right="65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34.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79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8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дать гражданину согласие на замещение должности в коммерческой или некоммерческой организации,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94"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14" w:right="101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9"/>
          <w:sz w:val="26"/>
          <w:szCs w:val="26"/>
          <w:lang w:eastAsia="ru-RU"/>
        </w:rPr>
        <w:t>35.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01" w:firstLine="72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58" w:firstLine="74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 (в этом случае Комиссия рекомендует гражданскому служащему принять меры по представлению указанных сведений);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right="180" w:firstLine="74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0"/>
          <w:sz w:val="26"/>
          <w:szCs w:val="26"/>
          <w:lang w:eastAsia="ru-RU"/>
        </w:rPr>
        <w:t>в)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 признать, что причина непредставления гражданским служащим сведений о доходах, об имуществе и обязательствах имущественного характера своих супруги (супруга) и несовершеннолетних детей 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необъективна и является способом уклонения от представления указанных сведений (в этом случае Комиссия рекомендует председателю суда, либо начальника Управления применить к гражданскому служащему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left="58" w:right="180" w:firstLine="74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36. По итогам рассмотрения вопроса, указанного в абзаце четвертом подпункта «б»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3" w:name="sub_10261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признать, что обстоятельства, препятствующие выполнению требований </w:t>
      </w:r>
      <w:bookmarkEnd w:id="3"/>
      <w:r w:rsidR="003A6E8D"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"garantf1://70272954.0/" </w:instrText>
      </w:r>
      <w:r w:rsidR="003A6E8D"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Федерального закона</w:t>
      </w:r>
      <w:r w:rsidR="003A6E8D"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4" w:name="sub_10262"/>
      <w:proofErr w:type="gramStart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признать, что обстоятельства, препятствующие выполнению требований </w:t>
      </w:r>
      <w:bookmarkEnd w:id="4"/>
      <w:r w:rsidR="003A6E8D"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begin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instrText xml:space="preserve"> HYPERLINK "garantf1://70272954.0/" </w:instrText>
      </w:r>
      <w:r w:rsidR="003A6E8D"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separate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Федерального закона</w:t>
      </w:r>
      <w:r w:rsidR="003A6E8D" w:rsidRPr="0095084A">
        <w:rPr>
          <w:rFonts w:ascii="Times New Roman" w:eastAsia="Times New Roman" w:hAnsi="Times New Roman"/>
          <w:sz w:val="26"/>
          <w:szCs w:val="26"/>
          <w:lang w:eastAsia="ru-RU"/>
        </w:rPr>
        <w:fldChar w:fldCharType="end"/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 (в этом случае Комиссия рекомендует председателю суда, либо начальника Управления применить к гражданскому служащему</w:t>
      </w:r>
      <w:proofErr w:type="gramEnd"/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 xml:space="preserve">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37. По итогам рассмотрения вопроса, указанного в абзаце пятом подпункта «б» пункта14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признать, что при исполнении гражданским служащим должностных обязанностей конфликт интересов отсутствует;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признать, что при исполнении гражданским служащим должностных обязанностей личная заинтересованность приводит или может привести  конфликту интересов (в этом случае Комиссия рекомендует гражданскому служащему и (или) представителю нанимателя принять меры по урегулированию конфликта интересов или по и недопущению его возникновения);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в) признать, что гражданский служащий не соблюдал требования об урегулировании конфликта интересов (в этом случае Комиссия рекомендует представителю нанимателя применить к гражданскому служащему конкретную меру ответственности).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38. По итогам рассмотрения вопроса, указанного в подпункте «в» пункта 14 настоящего Положения, Комиссия принимает соответствующее решение.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 39. По итогам рассмотрения вопроса, указанного в подпункте «г»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      а) признать, что сведения, представленные государственным служащим в соответствии с частью 1 статьи 3 Федерального закона «О контроле за соответствием  расходов лиц, замещающих государственные должности, и иных лиц их доходам», являются достоверными и полными;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      б) признать, что сведения, представленные государственным служащим в соответствии с частью 1 статьи 3 Федерального закона «О контроле за соответствием  расходов лиц, замещающих государственные должности, и иных лиц их доходам», являются недостоверными и (или) неполными (в этом случае Комиссия рекомендует председателю суда или начальнику Управления применить к государственному служащему 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  в соответствии с их рекомендацией).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             40. По итогам рассмотрения вопроса, указанного в подпункте  «д» пункта 14 настоящего Положения, Комиссия принимает в отношении гражданина, замещавшего должность государственной службы в суде или Управлении, одно из следующих решений: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  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  управлению этой организации входили в его должностные  (служебные) обязанности;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  б) установить, что замещение им на условиях трудового договора должности коммерческой или некоммерческой организации и (или) выполнение в коммерческой или некоммерческой организации работ (оказание услуг) нарушает требования статьи 12 Федерального закона от       25 декабря 2008 г. № 273-ФЗ «О противодействии коррупции» (в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организацию).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 40.1. По итогам рассмотрения вопроса, указанного в подпункте «е» пункта 14 настоящего Положения, Комиссия принимает одно из следующих решений: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а) признать наличие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</w:t>
      </w:r>
    </w:p>
    <w:p w:rsidR="00096E4B" w:rsidRPr="0095084A" w:rsidRDefault="00096E4B" w:rsidP="00096E4B">
      <w:pPr>
        <w:shd w:val="clear" w:color="auto" w:fill="FFFFFF"/>
        <w:spacing w:after="0" w:line="240" w:lineRule="auto"/>
        <w:ind w:firstLine="72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б) признать отсутствие причинно-следственной связи между возникновением не зависящих от федерального государственного гражданского служащего обстоятельств и невозможностью соблюдения им требований к служебному поведению и (или) требований об урегулировании конфликта интересов».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8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 41. По итогам рассмотрения вопросов, указанных в подпунктах «а», «б», «г», «д» и «е» пункта 14 настоящего Положения, и при наличии к тому оснований Комиссия может принять иное решение, чем это предусмотрено пунктами 32-37, 39-40.1 настоящего Положения. Основания и мотивы принятия такого решения должны быть отражены в протоколе заседания Комиссии.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3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    42. Для исполнения решений Комиссии могут быть подготовлены проекты нормативных правовых актов, решений или поручений суда или Управления, которые в установленном порядке представляются на рассмотрение представителя нанимателя.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ind w:right="13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 43.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left="29" w:firstLine="60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44. Решения Комиссии оформляются протоколами, которые подписывают члены Комиссии, принимавшие участие в ее заседании.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3"/>
          <w:sz w:val="26"/>
          <w:szCs w:val="26"/>
          <w:lang w:eastAsia="ru-RU"/>
        </w:rPr>
        <w:lastRenderedPageBreak/>
        <w:t>45.      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Решения Комиссии носят рекомендательный характер, за исключением решения, принимаемого по итогам рассмотрения вопроса, указанного в </w:t>
      </w:r>
      <w:hyperlink r:id="rId9" w:anchor="sub_101403" w:history="1">
        <w:r w:rsidRPr="0095084A">
          <w:rPr>
            <w:rFonts w:ascii="Times New Roman" w:eastAsia="Times New Roman" w:hAnsi="Times New Roman"/>
            <w:sz w:val="26"/>
            <w:szCs w:val="26"/>
            <w:lang w:eastAsia="ru-RU"/>
          </w:rPr>
          <w:t>абзаце четвертом подпункта "б" пункта 14</w:t>
        </w:r>
      </w:hyperlink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настоящего Положения, которое носит обязательный характер.</w:t>
      </w:r>
    </w:p>
    <w:p w:rsidR="00096E4B" w:rsidRPr="0095084A" w:rsidRDefault="00096E4B" w:rsidP="00096E4B">
      <w:pPr>
        <w:shd w:val="clear" w:color="auto" w:fill="FFFFFF"/>
        <w:spacing w:before="7" w:after="0" w:line="317" w:lineRule="atLeast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        46. В протоколе заседания Комиссии указываются: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0"/>
          <w:sz w:val="26"/>
          <w:szCs w:val="26"/>
          <w:lang w:eastAsia="ru-RU"/>
        </w:rPr>
        <w:t>а)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дата заседания Комиссии, фамилии, имена, отчества членов Комиссии и других лиц, присутствующих на заседании;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14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2"/>
          <w:sz w:val="26"/>
          <w:szCs w:val="26"/>
          <w:lang w:eastAsia="ru-RU"/>
        </w:rPr>
        <w:t>б)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формулировка каждого из рассматриваемых на заседании Комиссии вопросов с указанием фамилии, имени, отчества, должности гражданского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pacing w:val="-10"/>
          <w:sz w:val="26"/>
          <w:szCs w:val="26"/>
          <w:lang w:eastAsia="ru-RU"/>
        </w:rPr>
        <w:t>в)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95084A">
        <w:rPr>
          <w:rFonts w:ascii="Times New Roman" w:eastAsia="Times New Roman" w:hAnsi="Times New Roman"/>
          <w:spacing w:val="-1"/>
          <w:sz w:val="26"/>
          <w:szCs w:val="26"/>
          <w:lang w:eastAsia="ru-RU"/>
        </w:rPr>
        <w:t>предъявляемые к гражданскому служащему претензии, материалы, на </w:t>
      </w: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которых они основываются;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г) содержание пояснений гражданского служащего и других лиц по существу предъявляемых претензий;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д) фамилии, имена, отчества выступивших на заседании лиц и краткое изложение их выступлении;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е) источник информации, содержащей основания для проведения  заседания Комиссии, дата поступления информации в Управление либо суд;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ж) другие сведения;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з) результаты голосования (в случае возникших разногласий);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и) решение и обоснование его принятия.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47.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гражданский служащий.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48. Выписки из протокола заседания Комиссии в течение 7 рабочих дней  со дня заседания направляются представителю нанимателя, гражданскому служащему, а также по решению Комиссии – иным заинтересованным лицам.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49. Представитель нанимателя обязан рассмотреть соответствующую выписку из протокола заседания Комиссии и вправе учесть в пределах своей компетенции, содержащиеся в нем рекомендации при принятии решения о применении к гражданскому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О рассмотрении рекомендаций Комиссии и принятом решении представитель нанимателя в письменной форме уведомляет Комиссию в месячный срок со дня поступления к нему протокола заседания Комиссии.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Решение председателя суда либо начальника Управления оглашается на ближайшем заседании Комиссии и принимается к сведению без обсуждения.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50. В случае установления Комиссией признаков дисциплинарного проступка в действиях (бездействиях) гражданского служащего информация об этом представляется представителю нанимателя для решения вопроса о применении к гражданскому служащему мер ответственности, предусмотренных нормативными правовыми актами Российской Федерации.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51. В случае установления Комиссией факта совершения гражданским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52. Выписка из протокола заседания Комиссии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096E4B" w:rsidRPr="0095084A" w:rsidRDefault="00096E4B" w:rsidP="00096E4B">
      <w:pPr>
        <w:shd w:val="clear" w:color="auto" w:fill="FFFFFF"/>
        <w:spacing w:after="0" w:line="317" w:lineRule="atLeast"/>
        <w:ind w:right="7" w:firstLine="74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5084A">
        <w:rPr>
          <w:rFonts w:ascii="Times New Roman" w:eastAsia="Times New Roman" w:hAnsi="Times New Roman"/>
          <w:sz w:val="26"/>
          <w:szCs w:val="26"/>
          <w:lang w:eastAsia="ru-RU"/>
        </w:rPr>
        <w:t> </w:t>
      </w:r>
    </w:p>
    <w:p w:rsidR="00867376" w:rsidRPr="00096E4B" w:rsidRDefault="00867376">
      <w:pPr>
        <w:rPr>
          <w:rFonts w:ascii="Times New Roman" w:hAnsi="Times New Roman"/>
          <w:sz w:val="26"/>
          <w:szCs w:val="26"/>
        </w:rPr>
      </w:pPr>
    </w:p>
    <w:sectPr w:rsidR="00867376" w:rsidRPr="00096E4B" w:rsidSect="00FC764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096E4B"/>
    <w:rsid w:val="00044E29"/>
    <w:rsid w:val="00096E4B"/>
    <w:rsid w:val="000C1363"/>
    <w:rsid w:val="0011589D"/>
    <w:rsid w:val="00142D68"/>
    <w:rsid w:val="001E692E"/>
    <w:rsid w:val="0021495B"/>
    <w:rsid w:val="00256F03"/>
    <w:rsid w:val="002817AE"/>
    <w:rsid w:val="00313122"/>
    <w:rsid w:val="003A6E8D"/>
    <w:rsid w:val="00867376"/>
    <w:rsid w:val="0095084A"/>
    <w:rsid w:val="00954378"/>
    <w:rsid w:val="00A45667"/>
    <w:rsid w:val="00C820E2"/>
    <w:rsid w:val="00CD4EC0"/>
    <w:rsid w:val="00D4629F"/>
    <w:rsid w:val="00DD37B8"/>
    <w:rsid w:val="00EA5BAA"/>
    <w:rsid w:val="00FC7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8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00">
    <w:name w:val="a0"/>
    <w:rsid w:val="00096E4B"/>
  </w:style>
  <w:style w:type="paragraph" w:styleId="a3">
    <w:name w:val="Balloon Text"/>
    <w:basedOn w:val="a"/>
    <w:link w:val="a4"/>
    <w:uiPriority w:val="99"/>
    <w:semiHidden/>
    <w:unhideWhenUsed/>
    <w:rsid w:val="0095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437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8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1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12064203.12/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Relationship Id="rId9" Type="http://schemas.openxmlformats.org/officeDocument/2006/relationships/hyperlink" Target="file:///C:\Users\%D0%90%D0%B4%D0%BC%D0%B8%D0%BD\Desktop\%D0%92%D0%9E%D0%A1%D0%A1%D0%A2%D0%90%D0%9D%D0%9E%D0%92%D0%98%D0%A2%D0%AC%20%D0%A1%D0%90%D0%99%D0%A2\%D0%9A%D0%BE%D0%BC%D0%B8%D1%81%D1%81%D0%B8%D1%8F%20%D0%BF%D0%BE%20%D1%81%D0%BE%D0%B1%D0%BB%D1%8E%D0%B4%D0%B5%D0%BD%D0%B8%D1%8E%20%D1%82%D1%80%D0%B5%D0%B1%D0%BE%D0%B2%D0%B0%D0%BD%D0%B8%D0%B9\%D0%9F%D0%9E%D0%9B%D0%9E%D0%96%D0%95%D0%9D%D0%98%D0%95%20%D0%9E%20%D0%9A%D0%9E%D0%9C%D0%98%D0%A1%D0%A1%D0%98%D0%98.doc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53;&#1086;&#1074;&#1099;&#1081;%20&#1076;&#1086;&#1082;&#1091;&#1084;&#1077;&#1085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Новый документ</Template>
  <TotalTime>1</TotalTime>
  <Pages>12</Pages>
  <Words>5752</Words>
  <Characters>32790</Characters>
  <Application>Microsoft Office Word</Application>
  <DocSecurity>4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2025-08-14T09:55:00Z</cp:lastPrinted>
  <dcterms:created xsi:type="dcterms:W3CDTF">2025-10-24T08:11:00Z</dcterms:created>
  <dcterms:modified xsi:type="dcterms:W3CDTF">2025-10-24T08:11:00Z</dcterms:modified>
</cp:coreProperties>
</file>