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2D9C7" w14:textId="77777777" w:rsidR="00CC5BA1" w:rsidRPr="00813D4F" w:rsidRDefault="00CC5BA1">
      <w:pPr>
        <w:ind w:firstLine="0"/>
        <w:jc w:val="center"/>
        <w:rPr>
          <w:rFonts w:ascii="Times New Roman" w:hAnsi="Times New Roman"/>
          <w:b/>
          <w:sz w:val="28"/>
          <w:szCs w:val="28"/>
        </w:rPr>
      </w:pPr>
      <w:bookmarkStart w:id="0" w:name="_GoBack"/>
      <w:bookmarkEnd w:id="0"/>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127BCA">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127BCA">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127BCA">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127BCA">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127BCA">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127BCA">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127BCA">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127BCA">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127BCA">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127BCA">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127BCA">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127BCA">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127BCA">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127BCA">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127BCA">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127BCA">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127BCA">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127BCA">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127BCA">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127BCA">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127BCA">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127BCA">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127BCA">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127BCA">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127BCA">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127BCA">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127BCA">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127BCA">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127BCA">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127BCA">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127BCA">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127BCA">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127BCA">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127BCA">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127BCA">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127BCA">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127BCA">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127BCA">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127BCA">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127BCA">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127BCA">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127BCA">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127BCA">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127BCA">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127BCA">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127BCA">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xml:space="preserve">, другими федеральными законами в целях </w:t>
      </w:r>
      <w:r w:rsidR="00D2594E" w:rsidRPr="00C47AC3">
        <w:rPr>
          <w:rFonts w:ascii="Times New Roman" w:hAnsi="Times New Roman"/>
          <w:sz w:val="28"/>
          <w:szCs w:val="28"/>
        </w:rPr>
        <w:lastRenderedPageBreak/>
        <w:t>противодействия коррупции</w:t>
      </w:r>
      <w:r w:rsidRPr="00C47AC3">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1"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ru</w:t>
        </w:r>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2" w:name="_Лица,_обязанные_представлять"/>
      <w:bookmarkStart w:id="3" w:name="_Toc225936054"/>
      <w:bookmarkEnd w:id="2"/>
      <w:r w:rsidRPr="00F2545E">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4"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lastRenderedPageBreak/>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w:t>
      </w:r>
      <w:r w:rsidR="00822085">
        <w:rPr>
          <w:color w:val="000000"/>
          <w:sz w:val="28"/>
          <w:szCs w:val="28"/>
        </w:rPr>
        <w:lastRenderedPageBreak/>
        <w:t xml:space="preserve">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 xml:space="preserve">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w:t>
      </w:r>
      <w:r w:rsidR="00032299" w:rsidRPr="00F11D42">
        <w:rPr>
          <w:rFonts w:ascii="Times New Roman" w:hAnsi="Times New Roman"/>
          <w:sz w:val="28"/>
        </w:rPr>
        <w:lastRenderedPageBreak/>
        <w:t>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lastRenderedPageBreak/>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 xml:space="preserve">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w:t>
      </w:r>
      <w:r w:rsidRPr="00F73444">
        <w:rPr>
          <w:rFonts w:ascii="Times New Roman" w:hAnsi="Times New Roman"/>
          <w:sz w:val="28"/>
          <w:szCs w:val="28"/>
        </w:rPr>
        <w:lastRenderedPageBreak/>
        <w:t>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w:t>
      </w:r>
      <w:r w:rsidR="00984868" w:rsidRPr="00984868">
        <w:rPr>
          <w:rFonts w:ascii="Times New Roman" w:hAnsi="Times New Roman"/>
          <w:sz w:val="28"/>
          <w:szCs w:val="28"/>
        </w:rPr>
        <w:lastRenderedPageBreak/>
        <w:t>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lastRenderedPageBreak/>
        <w:t>Отчетный период и отчетная дата представления Сведений</w:t>
      </w:r>
      <w:bookmarkEnd w:id="13"/>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w:t>
      </w:r>
      <w:r w:rsidRPr="002937E4">
        <w:rPr>
          <w:rFonts w:ascii="Times New Roman" w:hAnsi="Times New Roman"/>
          <w:sz w:val="28"/>
          <w:szCs w:val="28"/>
        </w:rPr>
        <w:lastRenderedPageBreak/>
        <w:t xml:space="preserve">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lastRenderedPageBreak/>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w:t>
            </w:r>
            <w:r w:rsidRPr="00AA1EC8">
              <w:rPr>
                <w:rFonts w:ascii="Times New Roman" w:hAnsi="Times New Roman"/>
                <w:sz w:val="28"/>
                <w:szCs w:val="28"/>
              </w:rPr>
              <w:lastRenderedPageBreak/>
              <w:t>(работник)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сыну гражданина </w:t>
            </w:r>
            <w:r w:rsidRPr="006B0B50">
              <w:rPr>
                <w:rFonts w:ascii="Times New Roman" w:hAnsi="Times New Roman"/>
                <w:sz w:val="28"/>
                <w:szCs w:val="28"/>
              </w:rPr>
              <w:lastRenderedPageBreak/>
              <w:t>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lastRenderedPageBreak/>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lastRenderedPageBreak/>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w:t>
            </w:r>
            <w:r>
              <w:rPr>
                <w:rFonts w:ascii="Times New Roman" w:hAnsi="Times New Roman"/>
                <w:sz w:val="28"/>
                <w:szCs w:val="28"/>
              </w:rPr>
              <w:lastRenderedPageBreak/>
              <w:t xml:space="preserve">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6"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8"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 xml:space="preserve">ссылка на который также размещена на официальном сайте федеральной государственной информационной системы "Единая информационная система </w:t>
      </w:r>
      <w:r w:rsidR="00CF22F2" w:rsidRPr="002937E4">
        <w:rPr>
          <w:rFonts w:ascii="Times New Roman" w:hAnsi="Times New Roman"/>
          <w:sz w:val="28"/>
          <w:szCs w:val="28"/>
        </w:rPr>
        <w:lastRenderedPageBreak/>
        <w:t>управления кадровым составом государственной гражданской службы Российской Федерации" (</w:t>
      </w:r>
      <w:hyperlink r:id="rId29"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lastRenderedPageBreak/>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lastRenderedPageBreak/>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 xml:space="preserve">родственника служащего (работника), то денежные </w:t>
      </w:r>
      <w:r w:rsidR="00E4439A" w:rsidRPr="006848CC">
        <w:rPr>
          <w:rFonts w:ascii="Times New Roman" w:eastAsia="Times New Roman" w:hAnsi="Times New Roman"/>
          <w:sz w:val="28"/>
          <w:szCs w:val="28"/>
          <w:lang w:eastAsia="ru-RU"/>
        </w:rPr>
        <w:lastRenderedPageBreak/>
        <w:t>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w:t>
      </w:r>
      <w:r w:rsidRPr="006C78B6">
        <w:rPr>
          <w:rFonts w:ascii="Times New Roman" w:hAnsi="Times New Roman"/>
          <w:sz w:val="28"/>
          <w:szCs w:val="28"/>
        </w:rPr>
        <w:lastRenderedPageBreak/>
        <w:t>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w:t>
      </w:r>
      <w:r w:rsidRPr="006848CC">
        <w:rPr>
          <w:rFonts w:ascii="Times New Roman" w:hAnsi="Times New Roman"/>
          <w:sz w:val="28"/>
          <w:szCs w:val="28"/>
        </w:rPr>
        <w:lastRenderedPageBreak/>
        <w:t>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w:t>
      </w:r>
      <w:r w:rsidRPr="00EB404F">
        <w:rPr>
          <w:rFonts w:ascii="Times New Roman" w:hAnsi="Times New Roman"/>
          <w:sz w:val="28"/>
          <w:szCs w:val="28"/>
        </w:rPr>
        <w:lastRenderedPageBreak/>
        <w:t xml:space="preserve">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lastRenderedPageBreak/>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w:t>
      </w:r>
      <w:r w:rsidRPr="006848CC">
        <w:rPr>
          <w:rFonts w:ascii="Times New Roman" w:hAnsi="Times New Roman"/>
          <w:color w:val="000000"/>
          <w:sz w:val="28"/>
          <w:szCs w:val="28"/>
        </w:rPr>
        <w:lastRenderedPageBreak/>
        <w:t>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 xml:space="preserve">цифровых прав и цифровой валюты (дополнительно указываются дата отчуждения, сведения об </w:t>
      </w:r>
      <w:r w:rsidRPr="006848CC">
        <w:rPr>
          <w:rStyle w:val="af5"/>
          <w:rFonts w:ascii="Times New Roman" w:hAnsi="Times New Roman" w:cs="Times New Roman"/>
          <w:sz w:val="28"/>
          <w:szCs w:val="28"/>
          <w:shd w:val="clear" w:color="auto" w:fill="auto"/>
        </w:rPr>
        <w:lastRenderedPageBreak/>
        <w:t>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w:t>
      </w:r>
      <w:r w:rsidRPr="006848CC">
        <w:rPr>
          <w:sz w:val="28"/>
          <w:szCs w:val="28"/>
        </w:rPr>
        <w:lastRenderedPageBreak/>
        <w:t xml:space="preserve">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w:t>
      </w:r>
      <w:r w:rsidRPr="006D6F6F">
        <w:rPr>
          <w:rStyle w:val="af5"/>
          <w:rFonts w:ascii="Times New Roman" w:hAnsi="Times New Roman" w:cs="Times New Roman"/>
          <w:color w:val="000000"/>
          <w:sz w:val="28"/>
          <w:szCs w:val="28"/>
        </w:rPr>
        <w:lastRenderedPageBreak/>
        <w:t>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алюта, полученная в результате майнинга,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lastRenderedPageBreak/>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 xml:space="preserve">212 Налогового кодекса Российской Федерации. Например, материальная выгода, полученная от </w:t>
      </w:r>
      <w:r w:rsidRPr="006848CC">
        <w:rPr>
          <w:rFonts w:ascii="Times New Roman" w:hAnsi="Times New Roman"/>
          <w:sz w:val="28"/>
          <w:szCs w:val="28"/>
        </w:rPr>
        <w:lastRenderedPageBreak/>
        <w:t>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lastRenderedPageBreak/>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 xml:space="preserve">доходы супруги (супруга) служащего </w:t>
      </w:r>
      <w:r w:rsidR="002A084F" w:rsidRPr="006848CC">
        <w:rPr>
          <w:rFonts w:ascii="Times New Roman" w:hAnsi="Times New Roman"/>
          <w:sz w:val="28"/>
          <w:szCs w:val="28"/>
        </w:rPr>
        <w:lastRenderedPageBreak/>
        <w:t>(работни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w:t>
      </w:r>
      <w:r w:rsidRPr="006848CC">
        <w:rPr>
          <w:rFonts w:ascii="Times New Roman" w:hAnsi="Times New Roman"/>
          <w:sz w:val="28"/>
          <w:szCs w:val="28"/>
        </w:rPr>
        <w:lastRenderedPageBreak/>
        <w:t xml:space="preserve">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lastRenderedPageBreak/>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эскроу)</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w:t>
      </w:r>
      <w:r w:rsidRPr="006848CC">
        <w:rPr>
          <w:rFonts w:ascii="Times New Roman" w:hAnsi="Times New Roman"/>
          <w:sz w:val="28"/>
          <w:szCs w:val="28"/>
        </w:rPr>
        <w:lastRenderedPageBreak/>
        <w:t>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w:t>
      </w:r>
      <w:r w:rsidRPr="006848CC">
        <w:rPr>
          <w:rFonts w:ascii="Times New Roman" w:hAnsi="Times New Roman"/>
          <w:sz w:val="28"/>
          <w:szCs w:val="28"/>
        </w:rPr>
        <w:lastRenderedPageBreak/>
        <w:t>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w:t>
      </w:r>
      <w:r w:rsidR="00EB3A52" w:rsidRPr="006848CC">
        <w:rPr>
          <w:rFonts w:ascii="Times New Roman" w:hAnsi="Times New Roman"/>
          <w:sz w:val="28"/>
          <w:szCs w:val="28"/>
        </w:rPr>
        <w:lastRenderedPageBreak/>
        <w:t>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w:t>
      </w:r>
      <w:r w:rsidRPr="006848CC">
        <w:rPr>
          <w:rFonts w:ascii="Times New Roman" w:hAnsi="Times New Roman"/>
          <w:sz w:val="28"/>
          <w:szCs w:val="28"/>
        </w:rPr>
        <w:lastRenderedPageBreak/>
        <w:t>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 xml:space="preserve">ифровые финансовые активы, цифровые права, включающие одновременно цифровые финансовые активы и иные цифровые </w:t>
      </w:r>
      <w:r w:rsidR="00EC1548" w:rsidRPr="00EC1548">
        <w:rPr>
          <w:rFonts w:ascii="Times New Roman" w:hAnsi="Times New Roman"/>
          <w:sz w:val="28"/>
          <w:szCs w:val="28"/>
        </w:rPr>
        <w:lastRenderedPageBreak/>
        <w:t>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6"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w:t>
      </w:r>
      <w:r w:rsidR="00772F94" w:rsidRPr="006848CC">
        <w:rPr>
          <w:rStyle w:val="af5"/>
          <w:rFonts w:ascii="Times New Roman" w:hAnsi="Times New Roman" w:cs="Times New Roman"/>
          <w:sz w:val="28"/>
          <w:szCs w:val="28"/>
          <w:shd w:val="clear" w:color="auto" w:fill="auto"/>
        </w:rPr>
        <w:lastRenderedPageBreak/>
        <w:t>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7"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lastRenderedPageBreak/>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8"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lastRenderedPageBreak/>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 xml:space="preserve">возврат денежных средств по </w:t>
      </w:r>
      <w:r w:rsidR="00A245D0" w:rsidRPr="00A245D0">
        <w:rPr>
          <w:rFonts w:ascii="Times New Roman" w:hAnsi="Times New Roman"/>
          <w:sz w:val="28"/>
          <w:szCs w:val="28"/>
        </w:rPr>
        <w:lastRenderedPageBreak/>
        <w:t>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lastRenderedPageBreak/>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(токенизированных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Pr="006848CC">
        <w:rPr>
          <w:rFonts w:ascii="Times New Roman" w:hAnsi="Times New Roman"/>
          <w:sz w:val="28"/>
          <w:szCs w:val="28"/>
        </w:rPr>
        <w:lastRenderedPageBreak/>
        <w:t>(включая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Федерации передача ценных бумаг на депонирование эскроу-агенту</w:t>
      </w:r>
      <w:r w:rsidR="00460A7E">
        <w:rPr>
          <w:rFonts w:ascii="Times New Roman" w:hAnsi="Times New Roman"/>
          <w:sz w:val="28"/>
          <w:szCs w:val="28"/>
        </w:rPr>
        <w:t xml:space="preserve"> </w:t>
      </w:r>
      <w:r w:rsidR="00460A7E" w:rsidRPr="00460A7E">
        <w:rPr>
          <w:rFonts w:ascii="Times New Roman" w:hAnsi="Times New Roman"/>
          <w:sz w:val="28"/>
          <w:szCs w:val="28"/>
        </w:rPr>
        <w:t>по общему правилу не влечет перехода права собственности на них к эскроу-агенту.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w:t>
      </w:r>
      <w:r w:rsidRPr="006848CC">
        <w:rPr>
          <w:rFonts w:ascii="Times New Roman" w:hAnsi="Times New Roman"/>
          <w:sz w:val="28"/>
          <w:szCs w:val="28"/>
        </w:rPr>
        <w:lastRenderedPageBreak/>
        <w:t>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w:t>
      </w:r>
      <w:r w:rsidRPr="006848CC">
        <w:rPr>
          <w:rFonts w:ascii="Times New Roman" w:hAnsi="Times New Roman"/>
          <w:sz w:val="28"/>
          <w:szCs w:val="28"/>
        </w:rPr>
        <w:lastRenderedPageBreak/>
        <w:t>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 xml:space="preserve">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w:t>
      </w:r>
      <w:r w:rsidRPr="006848CC">
        <w:rPr>
          <w:rFonts w:ascii="Times New Roman" w:hAnsi="Times New Roman"/>
          <w:sz w:val="28"/>
          <w:szCs w:val="28"/>
        </w:rPr>
        <w:lastRenderedPageBreak/>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lastRenderedPageBreak/>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w:t>
      </w:r>
      <w:r w:rsidRPr="006848CC">
        <w:rPr>
          <w:rFonts w:ascii="Times New Roman" w:hAnsi="Times New Roman"/>
          <w:sz w:val="28"/>
          <w:szCs w:val="28"/>
        </w:rPr>
        <w:lastRenderedPageBreak/>
        <w:t xml:space="preserve">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w:t>
      </w:r>
      <w:r w:rsidRPr="002B4A34">
        <w:rPr>
          <w:rFonts w:ascii="Times New Roman" w:hAnsi="Times New Roman"/>
          <w:sz w:val="28"/>
          <w:szCs w:val="28"/>
        </w:rPr>
        <w:lastRenderedPageBreak/>
        <w:t>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lastRenderedPageBreak/>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 xml:space="preserve">Для цифровых финансовых активов, </w:t>
      </w:r>
      <w:r w:rsidRPr="0032079C">
        <w:rPr>
          <w:rStyle w:val="af5"/>
          <w:rFonts w:ascii="Times New Roman" w:hAnsi="Times New Roman" w:cs="Times New Roman"/>
          <w:sz w:val="28"/>
          <w:szCs w:val="28"/>
          <w:shd w:val="clear" w:color="auto" w:fill="auto"/>
        </w:rPr>
        <w:lastRenderedPageBreak/>
        <w:t>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4CE73" w14:textId="77777777" w:rsidR="004F4483" w:rsidRDefault="004F4483">
      <w:r>
        <w:separator/>
      </w:r>
    </w:p>
  </w:endnote>
  <w:endnote w:type="continuationSeparator" w:id="0">
    <w:p w14:paraId="5DD5F8F8" w14:textId="77777777" w:rsidR="004F4483" w:rsidRDefault="004F4483">
      <w:r>
        <w:continuationSeparator/>
      </w:r>
    </w:p>
  </w:endnote>
  <w:endnote w:type="continuationNotice" w:id="1">
    <w:p w14:paraId="17D3DB41" w14:textId="77777777" w:rsidR="004F4483" w:rsidRDefault="004F44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23395D" w14:textId="77777777" w:rsidR="004F4483" w:rsidRDefault="004F4483">
      <w:r>
        <w:separator/>
      </w:r>
    </w:p>
  </w:footnote>
  <w:footnote w:type="continuationSeparator" w:id="0">
    <w:p w14:paraId="30088D9A" w14:textId="77777777" w:rsidR="004F4483" w:rsidRDefault="004F4483">
      <w:r>
        <w:continuationSeparator/>
      </w:r>
    </w:p>
  </w:footnote>
  <w:footnote w:type="continuationNotice" w:id="1">
    <w:p w14:paraId="06B43901" w14:textId="77777777" w:rsidR="004F4483" w:rsidRDefault="004F448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127BCA" w:rsidRPr="00127BCA">
      <w:rPr>
        <w:rFonts w:ascii="Times New Roman" w:eastAsia="Times New Roman" w:hAnsi="Times New Roman"/>
        <w:noProof/>
        <w:sz w:val="28"/>
      </w:rPr>
      <w:t>6</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27BCA"/>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www.cbr.ru/hd_base/metall/metall_base_new/"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ravki_bk@mintrud.gov.ru"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cbr.ru/admissionfinmarket/navigator/oip/"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cbr.ru/admissionfinmarket/navigator/ois/"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60A4B1D9-3FBB-4F03-BD2E-F4A1F6A81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user</cp:lastModifiedBy>
  <cp:revision>2</cp:revision>
  <cp:lastPrinted>2026-03-31T16:32:00Z</cp:lastPrinted>
  <dcterms:created xsi:type="dcterms:W3CDTF">2026-04-08T14:41:00Z</dcterms:created>
  <dcterms:modified xsi:type="dcterms:W3CDTF">2026-04-08T14:41:00Z</dcterms:modified>
</cp:coreProperties>
</file>