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DD4BEE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DD4BEE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DD4BE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DD4BE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DD4BEE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DD4BE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DD4BE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DD4BEE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DD4BEE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proofErr w:type="gramStart"/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</w:t>
      </w:r>
      <w:proofErr w:type="gramEnd"/>
      <w:r w:rsidR="00771731" w:rsidRPr="007A7266">
        <w:t xml:space="preserve">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proofErr w:type="gramStart"/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proofErr w:type="gramEnd"/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proofErr w:type="gramStart"/>
      <w:r w:rsidRPr="000536F3">
        <w:t>поведении</w:t>
      </w:r>
      <w:proofErr w:type="gramEnd"/>
      <w:r w:rsidRPr="000536F3">
        <w:t>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proofErr w:type="gramStart"/>
      <w:r w:rsidRPr="000536F3">
        <w:rPr>
          <w:rFonts w:ascii="Times New Roman" w:hAnsi="Times New Roman"/>
          <w:sz w:val="28"/>
          <w:szCs w:val="28"/>
        </w:rPr>
        <w:t>способах</w:t>
      </w:r>
      <w:proofErr w:type="gramEnd"/>
      <w:r w:rsidRPr="000536F3">
        <w:rPr>
          <w:rFonts w:ascii="Times New Roman" w:hAnsi="Times New Roman"/>
          <w:sz w:val="28"/>
          <w:szCs w:val="28"/>
        </w:rPr>
        <w:t xml:space="preserve">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6F3">
        <w:rPr>
          <w:rFonts w:ascii="Times New Roman" w:hAnsi="Times New Roman"/>
          <w:sz w:val="28"/>
          <w:szCs w:val="28"/>
        </w:rPr>
        <w:t>порядке</w:t>
      </w:r>
      <w:proofErr w:type="gramEnd"/>
      <w:r w:rsidRPr="000536F3">
        <w:rPr>
          <w:rFonts w:ascii="Times New Roman" w:hAnsi="Times New Roman"/>
          <w:sz w:val="28"/>
          <w:szCs w:val="28"/>
        </w:rPr>
        <w:t xml:space="preserve">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негативных </w:t>
      </w:r>
      <w:proofErr w:type="gramStart"/>
      <w:r>
        <w:rPr>
          <w:rFonts w:ascii="Times New Roman" w:hAnsi="Times New Roman"/>
          <w:sz w:val="28"/>
          <w:szCs w:val="28"/>
        </w:rPr>
        <w:t>последствиях</w:t>
      </w:r>
      <w:proofErr w:type="gramEnd"/>
      <w:r>
        <w:rPr>
          <w:rFonts w:ascii="Times New Roman" w:hAnsi="Times New Roman"/>
          <w:sz w:val="28"/>
          <w:szCs w:val="28"/>
        </w:rPr>
        <w:t xml:space="preserve">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 xml:space="preserve">стандартов, способов их соблюдения и </w:t>
      </w:r>
      <w:proofErr w:type="gramStart"/>
      <w:r w:rsidRPr="00D02FF7">
        <w:rPr>
          <w:rFonts w:ascii="Times New Roman" w:hAnsi="Times New Roman"/>
          <w:sz w:val="28"/>
        </w:rPr>
        <w:t>контроля за</w:t>
      </w:r>
      <w:proofErr w:type="gramEnd"/>
      <w:r w:rsidRPr="00D02FF7">
        <w:rPr>
          <w:rFonts w:ascii="Times New Roman" w:hAnsi="Times New Roman"/>
          <w:sz w:val="28"/>
        </w:rPr>
        <w:t xml:space="preserve">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</w:t>
      </w:r>
      <w:proofErr w:type="gramStart"/>
      <w:r w:rsidR="00F42326" w:rsidRPr="007A7266">
        <w:t>воздействие</w:t>
      </w:r>
      <w:proofErr w:type="gramEnd"/>
      <w:r w:rsidR="00F42326" w:rsidRPr="007A7266">
        <w:t xml:space="preserve">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proofErr w:type="gramStart"/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</w:t>
            </w:r>
            <w:proofErr w:type="gramEnd"/>
            <w:r w:rsidR="0061535B" w:rsidRPr="0061535B">
              <w:t xml:space="preserve">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</w:t>
      </w:r>
      <w:proofErr w:type="gramStart"/>
      <w:r w:rsidRPr="004D7FB4">
        <w:rPr>
          <w:rFonts w:ascii="Times New Roman" w:hAnsi="Times New Roman"/>
          <w:sz w:val="28"/>
          <w:szCs w:val="28"/>
        </w:rPr>
        <w:t>должна</w:t>
      </w:r>
      <w:proofErr w:type="gramEnd"/>
      <w:r w:rsidRPr="004D7FB4">
        <w:rPr>
          <w:rFonts w:ascii="Times New Roman" w:hAnsi="Times New Roman"/>
          <w:sz w:val="28"/>
          <w:szCs w:val="28"/>
        </w:rPr>
        <w:t xml:space="preserve">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</w:t>
      </w:r>
      <w:proofErr w:type="gramStart"/>
      <w:r w:rsidR="004A43A6">
        <w:t xml:space="preserve">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  <w:proofErr w:type="gramEnd"/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 xml:space="preserve">а также осуществление </w:t>
      </w:r>
      <w:proofErr w:type="gramStart"/>
      <w:r w:rsidR="00CF147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F1475">
        <w:rPr>
          <w:rFonts w:ascii="Times New Roman" w:hAnsi="Times New Roman"/>
          <w:sz w:val="28"/>
          <w:szCs w:val="28"/>
        </w:rPr>
        <w:t xml:space="preserve">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proofErr w:type="gramStart"/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>включая оказание консультативной и иной поддержки</w:t>
      </w:r>
      <w:proofErr w:type="gramEnd"/>
      <w:r w:rsidR="001965FA">
        <w:t xml:space="preserve">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proofErr w:type="gramStart"/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  <w:proofErr w:type="gramEnd"/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proofErr w:type="gramStart"/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</w:t>
      </w:r>
      <w:proofErr w:type="gramEnd"/>
      <w:r>
        <w:t xml:space="preserve">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proofErr w:type="gramStart"/>
      <w:r>
        <w:t>для</w:t>
      </w:r>
      <w:proofErr w:type="gramEnd"/>
      <w:r>
        <w:t xml:space="preserve">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proofErr w:type="gramStart"/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  <w:proofErr w:type="gramEnd"/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4E11">
        <w:rPr>
          <w:rFonts w:ascii="Times New Roman" w:hAnsi="Times New Roman"/>
          <w:sz w:val="28"/>
          <w:szCs w:val="28"/>
        </w:rPr>
        <w:t>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  <w:proofErr w:type="gramEnd"/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  <w:proofErr w:type="gramEnd"/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>ое значение имеет надлежащий выбор форм, способов и сре</w:t>
      </w:r>
      <w:proofErr w:type="gramStart"/>
      <w:r w:rsidR="003213F9">
        <w:t>дств пр</w:t>
      </w:r>
      <w:proofErr w:type="gramEnd"/>
      <w:r w:rsidR="003213F9">
        <w:t xml:space="preserve">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1AF6">
        <w:rPr>
          <w:rFonts w:ascii="Times New Roman" w:hAnsi="Times New Roman"/>
          <w:i/>
          <w:sz w:val="28"/>
          <w:szCs w:val="28"/>
        </w:rPr>
        <w:t>контекстуальная</w:t>
      </w:r>
      <w:proofErr w:type="gramEnd"/>
      <w:r w:rsidRPr="00BC1AF6">
        <w:rPr>
          <w:rFonts w:ascii="Times New Roman" w:hAnsi="Times New Roman"/>
          <w:i/>
          <w:sz w:val="28"/>
          <w:szCs w:val="28"/>
        </w:rPr>
        <w:t xml:space="preserve">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proofErr w:type="gramEnd"/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proofErr w:type="gramStart"/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proofErr w:type="spellStart"/>
      <w:r w:rsidR="00283AFC">
        <w:rPr>
          <w:rFonts w:ascii="Times New Roman" w:hAnsi="Times New Roman"/>
          <w:sz w:val="28"/>
          <w:szCs w:val="28"/>
        </w:rPr>
        <w:t>вебинаров</w:t>
      </w:r>
      <w:proofErr w:type="spellEnd"/>
      <w:r w:rsidR="00283AFC">
        <w:rPr>
          <w:rFonts w:ascii="Times New Roman" w:hAnsi="Times New Roman"/>
          <w:sz w:val="28"/>
          <w:szCs w:val="28"/>
        </w:rPr>
        <w:t xml:space="preserve">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  <w:proofErr w:type="gramEnd"/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ведения тематической антикоррупционной страницы на </w:t>
      </w:r>
      <w:proofErr w:type="gramStart"/>
      <w:r w:rsidRPr="000536F3">
        <w:rPr>
          <w:rFonts w:ascii="Times New Roman" w:hAnsi="Times New Roman"/>
          <w:sz w:val="28"/>
          <w:szCs w:val="28"/>
        </w:rPr>
        <w:t>интернет-платформе</w:t>
      </w:r>
      <w:proofErr w:type="gramEnd"/>
      <w:r w:rsidRPr="000536F3">
        <w:rPr>
          <w:rFonts w:ascii="Times New Roman" w:hAnsi="Times New Roman"/>
          <w:sz w:val="28"/>
          <w:szCs w:val="28"/>
        </w:rPr>
        <w:t>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proofErr w:type="spellStart"/>
      <w:r w:rsidR="00057B5E">
        <w:rPr>
          <w:rFonts w:ascii="Times New Roman" w:hAnsi="Times New Roman"/>
          <w:sz w:val="28"/>
          <w:szCs w:val="28"/>
        </w:rPr>
        <w:t>подкаст</w:t>
      </w:r>
      <w:proofErr w:type="spellEnd"/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игрофицированного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proofErr w:type="spellStart"/>
      <w:r>
        <w:rPr>
          <w:rFonts w:ascii="Times New Roman" w:hAnsi="Times New Roman"/>
          <w:sz w:val="28"/>
          <w:szCs w:val="28"/>
        </w:rPr>
        <w:t>квиз</w:t>
      </w:r>
      <w:proofErr w:type="spellEnd"/>
      <w:r w:rsidR="00283A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AFC">
        <w:rPr>
          <w:rFonts w:ascii="Times New Roman" w:hAnsi="Times New Roman"/>
          <w:sz w:val="28"/>
          <w:szCs w:val="28"/>
        </w:rPr>
        <w:t>квест</w:t>
      </w:r>
      <w:proofErr w:type="spellEnd"/>
      <w:r w:rsidR="00283AFC">
        <w:rPr>
          <w:rFonts w:ascii="Times New Roman" w:hAnsi="Times New Roman"/>
          <w:sz w:val="28"/>
          <w:szCs w:val="28"/>
        </w:rPr>
        <w:t>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 xml:space="preserve">общей и </w:t>
      </w:r>
      <w:proofErr w:type="gramStart"/>
      <w:r w:rsidR="002F0C66">
        <w:t>специальной</w:t>
      </w:r>
      <w:proofErr w:type="gramEnd"/>
      <w:r w:rsidR="002F0C66">
        <w:t xml:space="preserve">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умения использовать коммуникативно-речевые приемы (авансирование, </w:t>
      </w:r>
      <w:proofErr w:type="spellStart"/>
      <w:r>
        <w:t>диалогизация</w:t>
      </w:r>
      <w:proofErr w:type="spellEnd"/>
      <w:r>
        <w:t>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 xml:space="preserve">умения выявлять </w:t>
      </w:r>
      <w:proofErr w:type="spellStart"/>
      <w:r>
        <w:t>коррупциогенные</w:t>
      </w:r>
      <w:proofErr w:type="spellEnd"/>
      <w:r>
        <w:t xml:space="preserve">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 xml:space="preserve">иных </w:t>
      </w:r>
      <w:proofErr w:type="gramStart"/>
      <w:r w:rsidRPr="00342F40">
        <w:rPr>
          <w:rFonts w:ascii="Times New Roman" w:hAnsi="Times New Roman"/>
          <w:sz w:val="28"/>
          <w:szCs w:val="28"/>
        </w:rPr>
        <w:t>интернет-платформах</w:t>
      </w:r>
      <w:proofErr w:type="gramEnd"/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  <w:proofErr w:type="gramEnd"/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</w:t>
      </w:r>
      <w:proofErr w:type="spellStart"/>
      <w:r w:rsidR="00B62863" w:rsidRPr="00342F40">
        <w:rPr>
          <w:rFonts w:ascii="Times New Roman" w:hAnsi="Times New Roman"/>
          <w:sz w:val="28"/>
          <w:szCs w:val="28"/>
        </w:rPr>
        <w:t>тезисно</w:t>
      </w:r>
      <w:proofErr w:type="spellEnd"/>
      <w:r w:rsidR="00B62863" w:rsidRPr="00342F40">
        <w:rPr>
          <w:rFonts w:ascii="Times New Roman" w:hAnsi="Times New Roman"/>
          <w:sz w:val="28"/>
          <w:szCs w:val="28"/>
        </w:rPr>
        <w:t xml:space="preserve">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proofErr w:type="spellStart"/>
      <w:r w:rsidR="00DC294C" w:rsidRPr="00342F40">
        <w:rPr>
          <w:rFonts w:ascii="Times New Roman" w:hAnsi="Times New Roman"/>
          <w:sz w:val="28"/>
          <w:szCs w:val="28"/>
        </w:rPr>
        <w:t>фактологических</w:t>
      </w:r>
      <w:proofErr w:type="spellEnd"/>
      <w:r w:rsidR="00DC294C" w:rsidRPr="00342F40">
        <w:rPr>
          <w:rFonts w:ascii="Times New Roman" w:hAnsi="Times New Roman"/>
          <w:sz w:val="28"/>
          <w:szCs w:val="28"/>
        </w:rPr>
        <w:t xml:space="preserve">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</w:t>
      </w:r>
      <w:proofErr w:type="gramStart"/>
      <w:r w:rsidR="00CE6BC0">
        <w:t>связи</w:t>
      </w:r>
      <w:proofErr w:type="gramEnd"/>
      <w:r w:rsidR="00CE6BC0">
        <w:t xml:space="preserve">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proofErr w:type="spellStart"/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proofErr w:type="spellEnd"/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proofErr w:type="spellStart"/>
      <w:r w:rsidR="00D74236" w:rsidRPr="00342F40">
        <w:t>игрофикация</w:t>
      </w:r>
      <w:proofErr w:type="spellEnd"/>
      <w:r w:rsidR="00D74236" w:rsidRPr="00342F40">
        <w:t xml:space="preserve"> </w:t>
      </w:r>
      <w:r w:rsidRPr="00342F40">
        <w:t xml:space="preserve">может быть </w:t>
      </w:r>
      <w:proofErr w:type="gramStart"/>
      <w:r w:rsidRPr="00342F40">
        <w:t>связана</w:t>
      </w:r>
      <w:proofErr w:type="gramEnd"/>
      <w:r w:rsidRPr="00342F40">
        <w:t xml:space="preserve">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proofErr w:type="spellStart"/>
      <w:r w:rsidR="00D24E58" w:rsidRPr="00342F40">
        <w:t>игрофикации</w:t>
      </w:r>
      <w:proofErr w:type="spellEnd"/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proofErr w:type="gramStart"/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  <w:proofErr w:type="gramEnd"/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</w:t>
            </w:r>
            <w:proofErr w:type="gramStart"/>
            <w:r>
              <w:t>мероприятий</w:t>
            </w:r>
            <w:proofErr w:type="gramEnd"/>
            <w:r>
              <w:t xml:space="preserve">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</w:t>
      </w:r>
      <w:proofErr w:type="gramStart"/>
      <w:r w:rsidRPr="00703D35">
        <w:t>поступившую</w:t>
      </w:r>
      <w:proofErr w:type="gramEnd"/>
      <w:r w:rsidRPr="00703D35">
        <w:t xml:space="preserve">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</w:t>
      </w:r>
      <w:proofErr w:type="gramStart"/>
      <w:r w:rsidR="00771731" w:rsidRPr="00703D35">
        <w:t>связи</w:t>
      </w:r>
      <w:proofErr w:type="gramEnd"/>
      <w:r w:rsidR="00771731" w:rsidRPr="00703D35">
        <w:t xml:space="preserve">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приоритизировать</w:t>
      </w:r>
      <w:proofErr w:type="spellEnd"/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proofErr w:type="gramStart"/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</w:t>
      </w:r>
      <w:proofErr w:type="gramEnd"/>
      <w:r w:rsidR="00771731" w:rsidRPr="00703D35">
        <w:t xml:space="preserve">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proofErr w:type="gramStart"/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  <w:proofErr w:type="gramEnd"/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</w:t>
      </w:r>
      <w:proofErr w:type="gramStart"/>
      <w:r w:rsidRPr="00703D35">
        <w:t>контроля за</w:t>
      </w:r>
      <w:proofErr w:type="gramEnd"/>
      <w:r w:rsidRPr="00703D35">
        <w:t xml:space="preserve">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proofErr w:type="gramStart"/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proofErr w:type="gramEnd"/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ADA19" w14:textId="77777777" w:rsidR="00DD4BEE" w:rsidRDefault="00DD4BEE" w:rsidP="00503247">
      <w:r>
        <w:separator/>
      </w:r>
    </w:p>
  </w:endnote>
  <w:endnote w:type="continuationSeparator" w:id="0">
    <w:p w14:paraId="3CDE1B2E" w14:textId="77777777" w:rsidR="00DD4BEE" w:rsidRDefault="00DD4BEE" w:rsidP="00503247">
      <w:r>
        <w:continuationSeparator/>
      </w:r>
    </w:p>
  </w:endnote>
  <w:endnote w:type="continuationNotice" w:id="1">
    <w:p w14:paraId="47056C2E" w14:textId="77777777" w:rsidR="00DD4BEE" w:rsidRDefault="00DD4BEE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360B" w14:textId="77777777" w:rsidR="00DD4BEE" w:rsidRDefault="00DD4BEE" w:rsidP="00503247">
      <w:r>
        <w:separator/>
      </w:r>
    </w:p>
  </w:footnote>
  <w:footnote w:type="continuationSeparator" w:id="0">
    <w:p w14:paraId="6E0E1EB4" w14:textId="77777777" w:rsidR="00DD4BEE" w:rsidRDefault="00DD4BEE" w:rsidP="00503247">
      <w:r>
        <w:continuationSeparator/>
      </w:r>
    </w:p>
  </w:footnote>
  <w:footnote w:type="continuationNotice" w:id="1">
    <w:p w14:paraId="1C90365A" w14:textId="77777777" w:rsidR="00DD4BEE" w:rsidRDefault="00DD4BEE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proofErr w:type="gramStart"/>
      <w:r w:rsidRPr="00AF5F89">
        <w:t xml:space="preserve">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  <w:proofErr w:type="gramEnd"/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</w:t>
      </w:r>
      <w:proofErr w:type="gramStart"/>
      <w:r>
        <w:t>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</w:t>
      </w:r>
      <w:proofErr w:type="gramEnd"/>
      <w:r w:rsidR="00097BD6" w:rsidRPr="00097BD6">
        <w:t xml:space="preserve">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proofErr w:type="gramStart"/>
      <w:r w:rsidRPr="00AF5F89">
        <w:t xml:space="preserve">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  <w:proofErr w:type="gramEnd"/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</w:t>
      </w:r>
      <w:proofErr w:type="gramStart"/>
      <w:r w:rsidRPr="000E67E1">
        <w:t>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  <w:proofErr w:type="gramEnd"/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460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460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4BEE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CA14-9C13-479F-A7CE-AF9D710B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1</cp:lastModifiedBy>
  <cp:revision>2</cp:revision>
  <cp:lastPrinted>2025-09-05T11:59:00Z</cp:lastPrinted>
  <dcterms:created xsi:type="dcterms:W3CDTF">2025-09-22T06:08:00Z</dcterms:created>
  <dcterms:modified xsi:type="dcterms:W3CDTF">2025-09-22T06:08:00Z</dcterms:modified>
</cp:coreProperties>
</file>