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1B" w:rsidRPr="008E4E1B" w:rsidRDefault="008E4E1B" w:rsidP="008E4E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E1B">
        <w:rPr>
          <w:rFonts w:ascii="Times New Roman" w:hAnsi="Times New Roman" w:cs="Times New Roman"/>
          <w:sz w:val="24"/>
          <w:szCs w:val="24"/>
        </w:rPr>
        <w:t>Утверждено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31 декабря 2015 г. N 412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8E4E1B">
        <w:rPr>
          <w:rFonts w:ascii="Times New Roman" w:hAnsi="Times New Roman" w:cs="Times New Roman"/>
          <w:sz w:val="24"/>
          <w:szCs w:val="24"/>
        </w:rPr>
        <w:t>ПОЛОЖЕНИЕ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 ФЕДЕРАЛЬНЫХ СУДОВ ОБЩЕЙ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ЮРИСДИКЦИИ И ФЕДЕРАЛЬНЫХ АРБИТРАЖНЫХ СУДОВ, УПРАВЛЕНИЙ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СУДЕБНОГО ДЕПАРТАМЕНТА В СУБЪЕКТАХ РОССИЙСКОЙ ФЕДЕРАЦИИ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 СДАЧИ И ОЦЕНКИ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 СРЕДСТВ,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4E1B" w:rsidRPr="008E4E1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Судебного департамента при Верховном Суде РФ</w:t>
            </w:r>
            <w:proofErr w:type="gramEnd"/>
          </w:p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(выкупа) и зачисления средств, вырученных от его реализации.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цветов и ценных подарков, которые вручены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поощрения (награды);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получение подарка в связи с протокольными мероприятиями, служебными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1.5. Невыполнение гражданским служащим требований настоящего Положения влечет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соответствующем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;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II. Порядок сообщения гражданскими служащими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кассационных судов общей юрисдикции, апелляционных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судов общей юрисдикции, верховных судов республик, краевых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областных судов, судов городов федерального значения,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судов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автономной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области и автономных округов, окружных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(флотских) военных судов, арбитражных судов округов,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арбитражных апелляционных судов, арбитражных судов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специализированном</w:t>
      </w:r>
      <w:proofErr w:type="gramEnd"/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федеральном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 получении подарка, его сдачи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оценки, реализации (выкупа) и зачисления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81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2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E4E1B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8E4E1B">
        <w:rPr>
          <w:rFonts w:ascii="Times New Roman" w:hAnsi="Times New Roman" w:cs="Times New Roman"/>
          <w:sz w:val="24"/>
          <w:szCs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2.10.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8E4E1B">
        <w:rPr>
          <w:rFonts w:ascii="Times New Roman" w:hAnsi="Times New Roman" w:cs="Times New Roman"/>
          <w:sz w:val="24"/>
          <w:szCs w:val="24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2.12. Комиссия после поступления заявления, указанного в </w:t>
      </w:r>
      <w:hyperlink w:anchor="P106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9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2.7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председателя Суда может не 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2.13. Подарок,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III. Порядок сообщения гражданским служащим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районных, гарнизонных военных судов, управления Судебного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 о получении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его сдачи и оценки, реализации (выкупа)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3.1. Гражданский служащий представляет Уведомление,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3.2. Уведомление составляется в 2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районном, гарнизонном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военном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суде - работником аппарата районного,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районном, гарнизонном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военном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суда или Управления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7)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4"/>
      <w:bookmarkEnd w:id="7"/>
      <w:r w:rsidRPr="008E4E1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из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Сведения об ориентировочной стоимости подарка подтверждаются документально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 w:rsidRPr="008E4E1B">
        <w:rPr>
          <w:rFonts w:ascii="Times New Roman" w:hAnsi="Times New Roman" w:cs="Times New Roman"/>
          <w:sz w:val="24"/>
          <w:szCs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3.11.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7"/>
      <w:bookmarkEnd w:id="9"/>
      <w:r w:rsidRPr="008E4E1B">
        <w:rPr>
          <w:rFonts w:ascii="Times New Roman" w:hAnsi="Times New Roman" w:cs="Times New Roman"/>
          <w:sz w:val="24"/>
          <w:szCs w:val="24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3.13. Комиссия после поступления заявления, указанного в </w:t>
      </w:r>
      <w:hyperlink w:anchor="P157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14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3.8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3.9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начальника Управления может не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Подарок, в отношении которого не поступило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8"/>
      <w:bookmarkEnd w:id="10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(дата получения)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и дата проведения)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4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N 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"__" 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8"/>
      <w:bookmarkEnd w:id="11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73"/>
      <w:bookmarkEnd w:id="12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уведомления в Комиссию </w:t>
            </w:r>
            <w:hyperlink w:anchor="P30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08"/>
      <w:bookmarkEnd w:id="13"/>
      <w:r w:rsidRPr="008E4E1B">
        <w:rPr>
          <w:rFonts w:ascii="Times New Roman" w:hAnsi="Times New Roman" w:cs="Times New Roman"/>
          <w:sz w:val="24"/>
          <w:szCs w:val="24"/>
        </w:rPr>
        <w:t>&lt;1&gt; Комиссию по поступлению и выбытию активов.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33"/>
      <w:bookmarkEnd w:id="14"/>
      <w:r w:rsidRPr="008E4E1B">
        <w:rPr>
          <w:rFonts w:ascii="Times New Roman" w:hAnsi="Times New Roman" w:cs="Times New Roman"/>
          <w:sz w:val="24"/>
          <w:szCs w:val="24"/>
        </w:rPr>
        <w:t xml:space="preserve">                  Акт приема-передачи подарков N 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 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(Ф.И.О. гражданского служащего,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7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С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дал на ответственное хранение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_________/______________________      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(расшифровка подписи)       (подпись)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(дата и номер решения комиссии по оценке и принятию к учету подарков)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Исполнитель ____________ _______________________________ "__" 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(подпись)       (расшифровка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78"/>
      <w:bookmarkEnd w:id="15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03"/>
      <w:bookmarkEnd w:id="16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учета актов приема-передачи подарков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lastRenderedPageBreak/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54"/>
      <w:bookmarkEnd w:id="17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АКТ возврата подарков N 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 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на  основании протокола заседания Комиссии по поступлению и выбытию активов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от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_________________ 20__ г. N ________ возвращает гражданскому служащему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подарок ________________________________________ стоимостью 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рублей,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 акту приема-передачи от "__" ________ 20__ г. N 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Выдал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(Руководителю органа, в который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(фамилия и инициалы, должность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лица, сдавшего подарок)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09"/>
      <w:bookmarkEnd w:id="18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о намерении выкупить подарок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переданног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N ________.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УТВЕРЖДАЮ                              </w:t>
      </w:r>
      <w:proofErr w:type="spellStart"/>
      <w:proofErr w:type="gramStart"/>
      <w:r w:rsidRPr="008E4E1B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Председатель                           Начальник управления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___________________________            Судебного 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наименование суда                 Российской Федерации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__________/_____________________       __________/_____________________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  (инициалы, фамилия)        (подпись)   (инициалы, фамилия)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 20__ г.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56"/>
      <w:bookmarkEnd w:id="19"/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Акт приема-передачи N 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(работник аппарата суда, передающий Уведомление и подарок, должность,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произвел передачу Уведомления о получении  подарка  и  подарок,  полученный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 служащим 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(наименование суда, должность,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(должность, фамилия и инициалы материально ответственного лица Управления)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принял подарки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 следующей таблицей: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05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уведомлений</w:t>
            </w: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Данный акт составлен в трех экземплярах.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Передал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5"/>
      <w:bookmarkEnd w:id="20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47393" w:rsidRPr="008E4E1B" w:rsidRDefault="00647393" w:rsidP="008E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393" w:rsidRPr="008E4E1B" w:rsidSect="0071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B"/>
    <w:rsid w:val="00647393"/>
    <w:rsid w:val="00774E56"/>
    <w:rsid w:val="008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07909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07909&amp;dst=1000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5858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2025-05-19T14:31:00Z</dcterms:created>
  <dcterms:modified xsi:type="dcterms:W3CDTF">2025-05-19T14:31:00Z</dcterms:modified>
</cp:coreProperties>
</file>