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564E" w:rsidRPr="003F564E" w:rsidTr="00AC44C7">
        <w:tc>
          <w:tcPr>
            <w:tcW w:w="4785" w:type="dxa"/>
          </w:tcPr>
          <w:p w:rsidR="003F564E" w:rsidRPr="003F564E" w:rsidRDefault="003F564E" w:rsidP="00467BC9">
            <w:pPr>
              <w:widowControl w:val="0"/>
              <w:ind w:right="198"/>
              <w:jc w:val="center"/>
              <w:rPr>
                <w:rStyle w:val="20"/>
                <w:rFonts w:eastAsiaTheme="minorHAnsi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564E" w:rsidRPr="003F564E" w:rsidRDefault="003F564E" w:rsidP="003F564E">
            <w:pPr>
              <w:widowControl w:val="0"/>
              <w:ind w:right="198"/>
              <w:jc w:val="right"/>
              <w:rPr>
                <w:rStyle w:val="20"/>
                <w:rFonts w:eastAsiaTheme="minorHAnsi"/>
                <w:sz w:val="20"/>
                <w:szCs w:val="20"/>
              </w:rPr>
            </w:pPr>
            <w:r w:rsidRPr="003F564E">
              <w:rPr>
                <w:rStyle w:val="20"/>
                <w:rFonts w:eastAsiaTheme="minorHAnsi"/>
                <w:sz w:val="20"/>
                <w:szCs w:val="20"/>
              </w:rPr>
              <w:t>Утверждены</w:t>
            </w:r>
          </w:p>
          <w:p w:rsidR="003F564E" w:rsidRDefault="003F564E" w:rsidP="003F564E">
            <w:pPr>
              <w:widowControl w:val="0"/>
              <w:ind w:right="198"/>
              <w:jc w:val="right"/>
              <w:rPr>
                <w:rStyle w:val="20"/>
                <w:rFonts w:eastAsiaTheme="minorHAnsi"/>
                <w:sz w:val="20"/>
                <w:szCs w:val="20"/>
              </w:rPr>
            </w:pPr>
            <w:r w:rsidRPr="003F564E">
              <w:rPr>
                <w:rStyle w:val="20"/>
                <w:rFonts w:eastAsiaTheme="minorHAnsi"/>
                <w:sz w:val="20"/>
                <w:szCs w:val="20"/>
              </w:rPr>
              <w:t xml:space="preserve">Приказом Председателя </w:t>
            </w:r>
          </w:p>
          <w:p w:rsidR="003F564E" w:rsidRDefault="003F564E" w:rsidP="003F564E">
            <w:pPr>
              <w:widowControl w:val="0"/>
              <w:ind w:right="198"/>
              <w:jc w:val="right"/>
              <w:rPr>
                <w:rStyle w:val="20"/>
                <w:rFonts w:eastAsiaTheme="minorHAnsi"/>
                <w:sz w:val="20"/>
                <w:szCs w:val="20"/>
              </w:rPr>
            </w:pPr>
            <w:r w:rsidRPr="003F564E">
              <w:rPr>
                <w:rStyle w:val="20"/>
                <w:rFonts w:eastAsiaTheme="minorHAnsi"/>
                <w:sz w:val="20"/>
                <w:szCs w:val="20"/>
              </w:rPr>
              <w:t>Балтасинского районного суда</w:t>
            </w:r>
          </w:p>
          <w:p w:rsidR="003F564E" w:rsidRDefault="003F564E" w:rsidP="003F564E">
            <w:pPr>
              <w:widowControl w:val="0"/>
              <w:ind w:right="198"/>
              <w:jc w:val="right"/>
              <w:rPr>
                <w:rStyle w:val="20"/>
                <w:rFonts w:eastAsiaTheme="minorHAnsi"/>
                <w:sz w:val="20"/>
                <w:szCs w:val="20"/>
              </w:rPr>
            </w:pPr>
            <w:r w:rsidRPr="003F564E">
              <w:rPr>
                <w:rStyle w:val="20"/>
                <w:rFonts w:eastAsiaTheme="minorHAnsi"/>
                <w:sz w:val="20"/>
                <w:szCs w:val="20"/>
              </w:rPr>
              <w:t xml:space="preserve"> Республики Татарстан</w:t>
            </w:r>
          </w:p>
          <w:p w:rsidR="003F564E" w:rsidRPr="003F564E" w:rsidRDefault="003F564E" w:rsidP="00EC55E1">
            <w:pPr>
              <w:widowControl w:val="0"/>
              <w:ind w:right="198"/>
              <w:jc w:val="right"/>
              <w:rPr>
                <w:rStyle w:val="20"/>
                <w:rFonts w:eastAsiaTheme="minorHAnsi"/>
                <w:sz w:val="20"/>
                <w:szCs w:val="20"/>
              </w:rPr>
            </w:pPr>
            <w:r>
              <w:rPr>
                <w:rStyle w:val="20"/>
                <w:rFonts w:eastAsiaTheme="minorHAnsi"/>
                <w:sz w:val="20"/>
                <w:szCs w:val="20"/>
              </w:rPr>
              <w:t>№</w:t>
            </w:r>
            <w:r w:rsidR="00EC55E1">
              <w:rPr>
                <w:rStyle w:val="20"/>
                <w:rFonts w:eastAsiaTheme="minorHAnsi"/>
                <w:sz w:val="20"/>
                <w:szCs w:val="20"/>
              </w:rPr>
              <w:t xml:space="preserve"> 13</w:t>
            </w:r>
            <w:r>
              <w:rPr>
                <w:rStyle w:val="20"/>
                <w:rFonts w:eastAsiaTheme="minorHAnsi"/>
                <w:sz w:val="20"/>
                <w:szCs w:val="20"/>
              </w:rPr>
              <w:t xml:space="preserve"> от «</w:t>
            </w:r>
            <w:r w:rsidR="002D6B21">
              <w:rPr>
                <w:rStyle w:val="20"/>
                <w:rFonts w:eastAsiaTheme="minorHAnsi"/>
                <w:sz w:val="20"/>
                <w:szCs w:val="20"/>
              </w:rPr>
              <w:t>15</w:t>
            </w:r>
            <w:r>
              <w:rPr>
                <w:rStyle w:val="20"/>
                <w:rFonts w:eastAsiaTheme="minorHAnsi"/>
                <w:sz w:val="20"/>
                <w:szCs w:val="20"/>
              </w:rPr>
              <w:t>» февраля 2024 года.</w:t>
            </w:r>
          </w:p>
        </w:tc>
      </w:tr>
    </w:tbl>
    <w:p w:rsidR="0043379B" w:rsidRPr="00467BC9" w:rsidRDefault="0043379B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3379B" w:rsidRPr="00467BC9" w:rsidRDefault="003F564E" w:rsidP="003F564E">
      <w:pPr>
        <w:widowControl w:val="0"/>
        <w:spacing w:after="0"/>
        <w:ind w:right="198"/>
        <w:jc w:val="center"/>
        <w:rPr>
          <w:rStyle w:val="20"/>
          <w:rFonts w:eastAsiaTheme="minorHAns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79B" w:rsidRPr="00467BC9">
        <w:rPr>
          <w:rStyle w:val="20"/>
          <w:rFonts w:eastAsiaTheme="minorHAnsi"/>
          <w:b/>
          <w:sz w:val="28"/>
          <w:szCs w:val="28"/>
        </w:rPr>
        <w:t>ПРАВИЛА</w:t>
      </w:r>
    </w:p>
    <w:p w:rsidR="003F564E" w:rsidRDefault="0043379B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пребывания посетителей в</w:t>
      </w:r>
      <w:r w:rsidR="003F564E">
        <w:rPr>
          <w:rStyle w:val="20"/>
          <w:rFonts w:eastAsiaTheme="minorHAnsi"/>
          <w:b/>
          <w:sz w:val="28"/>
          <w:szCs w:val="28"/>
        </w:rPr>
        <w:t xml:space="preserve"> Балтасинском районном суде</w:t>
      </w:r>
    </w:p>
    <w:p w:rsidR="0043379B" w:rsidRPr="00467BC9" w:rsidRDefault="003F564E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>
        <w:rPr>
          <w:rStyle w:val="20"/>
          <w:rFonts w:eastAsiaTheme="minorHAnsi"/>
          <w:b/>
          <w:sz w:val="28"/>
          <w:szCs w:val="28"/>
        </w:rPr>
        <w:t xml:space="preserve"> Республики Татарстан</w:t>
      </w:r>
    </w:p>
    <w:p w:rsidR="0043379B" w:rsidRPr="00467BC9" w:rsidRDefault="0043379B" w:rsidP="00467BC9">
      <w:pPr>
        <w:spacing w:after="0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1. Общие положения</w:t>
      </w: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1.1. </w:t>
      </w:r>
      <w:r w:rsidR="00EF358A">
        <w:rPr>
          <w:rStyle w:val="20"/>
          <w:rFonts w:eastAsiaTheme="minorHAnsi"/>
          <w:sz w:val="28"/>
          <w:szCs w:val="28"/>
        </w:rPr>
        <w:t xml:space="preserve"> </w:t>
      </w:r>
      <w:proofErr w:type="gramStart"/>
      <w:r w:rsidR="003F564E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>равила пребывания временно находящихся в зд</w:t>
      </w:r>
      <w:r w:rsidR="00AC582B" w:rsidRPr="00467BC9">
        <w:rPr>
          <w:rStyle w:val="20"/>
          <w:rFonts w:eastAsiaTheme="minorHAnsi"/>
          <w:sz w:val="28"/>
          <w:szCs w:val="28"/>
        </w:rPr>
        <w:t>ании</w:t>
      </w:r>
      <w:r w:rsidR="002D6B21">
        <w:rPr>
          <w:rStyle w:val="20"/>
          <w:rFonts w:eastAsiaTheme="minorHAnsi"/>
          <w:sz w:val="28"/>
          <w:szCs w:val="28"/>
        </w:rPr>
        <w:t xml:space="preserve"> (помещении)</w:t>
      </w:r>
      <w:r w:rsidR="00EC55E1">
        <w:rPr>
          <w:rStyle w:val="20"/>
          <w:rFonts w:eastAsiaTheme="minorHAnsi"/>
          <w:sz w:val="28"/>
          <w:szCs w:val="28"/>
        </w:rPr>
        <w:t xml:space="preserve"> Балтасинского районного суда  Республики Татарстан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 (далее – </w:t>
      </w:r>
      <w:r w:rsidR="003F564E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 xml:space="preserve">равила) физических лиц, для которых суд не является местом работы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</w:t>
      </w:r>
      <w:r w:rsidR="003F564E">
        <w:rPr>
          <w:rStyle w:val="20"/>
          <w:rFonts w:eastAsiaTheme="minorHAnsi"/>
          <w:sz w:val="28"/>
          <w:szCs w:val="28"/>
        </w:rPr>
        <w:t xml:space="preserve"> мировых судей,</w:t>
      </w:r>
      <w:r w:rsidRPr="00467BC9">
        <w:rPr>
          <w:rStyle w:val="20"/>
          <w:rFonts w:eastAsiaTheme="minorHAnsi"/>
          <w:sz w:val="28"/>
          <w:szCs w:val="28"/>
        </w:rPr>
        <w:t xml:space="preserve"> работников аппарат</w:t>
      </w:r>
      <w:r w:rsidR="002D6B21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</w:t>
      </w:r>
      <w:r w:rsidR="003F564E">
        <w:rPr>
          <w:rStyle w:val="20"/>
          <w:rFonts w:eastAsiaTheme="minorHAnsi"/>
          <w:sz w:val="28"/>
          <w:szCs w:val="28"/>
        </w:rPr>
        <w:t xml:space="preserve"> районного суда,</w:t>
      </w:r>
      <w:r w:rsidRPr="00467BC9">
        <w:rPr>
          <w:rStyle w:val="20"/>
          <w:rFonts w:eastAsiaTheme="minorHAnsi"/>
          <w:sz w:val="28"/>
          <w:szCs w:val="28"/>
        </w:rPr>
        <w:t xml:space="preserve"> </w:t>
      </w:r>
      <w:r w:rsidR="002D6B21" w:rsidRPr="00467BC9">
        <w:rPr>
          <w:rStyle w:val="20"/>
          <w:rFonts w:eastAsiaTheme="minorHAnsi"/>
          <w:sz w:val="28"/>
          <w:szCs w:val="28"/>
        </w:rPr>
        <w:t>работников</w:t>
      </w:r>
      <w:proofErr w:type="gramEnd"/>
      <w:r w:rsidR="002D6B21" w:rsidRPr="00467BC9">
        <w:rPr>
          <w:rStyle w:val="20"/>
          <w:rFonts w:eastAsiaTheme="minorHAnsi"/>
          <w:sz w:val="28"/>
          <w:szCs w:val="28"/>
        </w:rPr>
        <w:t xml:space="preserve"> аппарат</w:t>
      </w:r>
      <w:r w:rsidR="002D6B21">
        <w:rPr>
          <w:rStyle w:val="20"/>
          <w:rFonts w:eastAsiaTheme="minorHAnsi"/>
          <w:sz w:val="28"/>
          <w:szCs w:val="28"/>
        </w:rPr>
        <w:t>а</w:t>
      </w:r>
      <w:r w:rsidR="002D6B21" w:rsidRPr="00467BC9">
        <w:rPr>
          <w:rStyle w:val="20"/>
          <w:rFonts w:eastAsiaTheme="minorHAnsi"/>
          <w:sz w:val="28"/>
          <w:szCs w:val="28"/>
        </w:rPr>
        <w:t xml:space="preserve"> </w:t>
      </w:r>
      <w:r w:rsidR="002D6B21">
        <w:rPr>
          <w:rStyle w:val="20"/>
          <w:rFonts w:eastAsiaTheme="minorHAnsi"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мировых судей.</w:t>
      </w:r>
    </w:p>
    <w:p w:rsidR="0043379B" w:rsidRPr="00467BC9" w:rsidRDefault="003F564E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П</w:t>
      </w:r>
      <w:r w:rsidR="0043379B" w:rsidRPr="00467BC9">
        <w:rPr>
          <w:rStyle w:val="20"/>
          <w:rFonts w:eastAsiaTheme="minorHAnsi"/>
          <w:sz w:val="28"/>
          <w:szCs w:val="28"/>
        </w:rPr>
        <w:t>равила пребывания посетителей в суд</w:t>
      </w:r>
      <w:r>
        <w:rPr>
          <w:rStyle w:val="20"/>
          <w:rFonts w:eastAsiaTheme="minorHAnsi"/>
          <w:sz w:val="28"/>
          <w:szCs w:val="28"/>
        </w:rPr>
        <w:t>е</w:t>
      </w:r>
      <w:r w:rsidR="0043379B" w:rsidRPr="00467BC9">
        <w:rPr>
          <w:rStyle w:val="20"/>
          <w:rFonts w:eastAsiaTheme="minorHAnsi"/>
          <w:sz w:val="28"/>
          <w:szCs w:val="28"/>
        </w:rPr>
        <w:t xml:space="preserve"> направлены </w:t>
      </w:r>
      <w:proofErr w:type="gramStart"/>
      <w:r w:rsidR="0043379B" w:rsidRPr="00467BC9">
        <w:rPr>
          <w:rStyle w:val="20"/>
          <w:rFonts w:eastAsiaTheme="minorHAnsi"/>
          <w:sz w:val="28"/>
          <w:szCs w:val="28"/>
        </w:rPr>
        <w:t>на</w:t>
      </w:r>
      <w:proofErr w:type="gramEnd"/>
      <w:r w:rsidR="0043379B" w:rsidRPr="00467BC9">
        <w:rPr>
          <w:rStyle w:val="20"/>
          <w:rFonts w:eastAsiaTheme="minorHAnsi"/>
          <w:sz w:val="28"/>
          <w:szCs w:val="28"/>
        </w:rPr>
        <w:t xml:space="preserve">: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установленного порядка деятельности суд</w:t>
      </w:r>
      <w:r w:rsidR="003F564E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поддержание общественного порядка в здании суда и осуществление </w:t>
      </w:r>
      <w:r w:rsidR="00741BB3" w:rsidRPr="00467BC9">
        <w:rPr>
          <w:rStyle w:val="20"/>
          <w:rFonts w:eastAsiaTheme="minorHAnsi"/>
          <w:sz w:val="28"/>
          <w:szCs w:val="28"/>
        </w:rPr>
        <w:t>его</w:t>
      </w:r>
      <w:r w:rsidRPr="00467BC9">
        <w:rPr>
          <w:rStyle w:val="20"/>
          <w:rFonts w:eastAsiaTheme="minorHAnsi"/>
          <w:sz w:val="28"/>
          <w:szCs w:val="28"/>
        </w:rPr>
        <w:t xml:space="preserve"> охраны;</w:t>
      </w:r>
    </w:p>
    <w:p w:rsidR="00741BB3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741BB3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гласности и открытости судопроизводства, </w:t>
      </w:r>
      <w:r w:rsidR="0043379B" w:rsidRPr="00467BC9">
        <w:rPr>
          <w:rStyle w:val="20"/>
          <w:rFonts w:eastAsiaTheme="minorHAnsi"/>
          <w:sz w:val="28"/>
          <w:szCs w:val="28"/>
        </w:rPr>
        <w:t>реализацию права на доступ к информации о деятельности судов</w:t>
      </w:r>
      <w:r w:rsidRPr="00467BC9">
        <w:rPr>
          <w:rStyle w:val="20"/>
          <w:rFonts w:eastAsiaTheme="minorHAnsi"/>
          <w:sz w:val="28"/>
          <w:szCs w:val="28"/>
        </w:rPr>
        <w:t>;</w:t>
      </w:r>
    </w:p>
    <w:p w:rsidR="0043379B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741BB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Проход в здание суда осуществляется по следующим документам: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дипломатический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служебный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рождении (для граждан Российской Федерации </w:t>
      </w:r>
      <w:r w:rsidR="000C5E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14 лет);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467BC9" w:rsidRDefault="00741BB3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помимо</w:t>
      </w:r>
      <w:proofErr w:type="gram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указанных в настоящем пункте.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 Организация допуска посетителей в здание суда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741BB3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proofErr w:type="gramStart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 посетителей в здание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</w:t>
      </w:r>
      <w:proofErr w:type="gramEnd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Российской Федерации»), в месте, на котором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выполняют возложенные на них обязанности. В целях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обеспечения безопасности судей, присяжных заседателей, работников аппаратов судов и иных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лиц, находящихся в зданиях, помещениях суд</w:t>
      </w:r>
      <w:r w:rsidR="0044096B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, судебными приставами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применяются технические средства охраны и </w:t>
      </w:r>
      <w:proofErr w:type="gramStart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досмотра</w:t>
      </w:r>
      <w:proofErr w:type="gramEnd"/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осуществляется учет (регистрация) входящих в здание суда посетителей, за исключением лиц, указанных в пунктах 2.3 и 2.4 </w:t>
      </w:r>
      <w:r w:rsidR="0044096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2.2. Охрана и поддержание общественного порядка в здании </w:t>
      </w:r>
      <w:r w:rsidR="0044096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осуществляются судебными приставами по обеспечению установленного порядка деятельности судов (далее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 Беспрепятственный проход в здание суда осуществляется лицами, являющимися объектами государственной охраны в соответствии с Федеральным законом от 27.05.1996 №57-ФЗ </w:t>
      </w:r>
      <w:r w:rsidR="002E3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государственной охране». 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2.4. При предъявлении служебного удостоверения в здание </w:t>
      </w:r>
      <w:r w:rsidR="0044096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проходят:</w:t>
      </w:r>
    </w:p>
    <w:p w:rsidR="0043379B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числе пребывающие в отставке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70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сенаторы Российской Федерации и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нские служащие федеральных судов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мировых судей субъектов Российской Федерации;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высшие должностные лица субъектов Российской Федерации,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467BC9" w:rsidRDefault="007717A4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rFonts w:ascii="Times New Roman" w:hAnsi="Times New Roman" w:cs="Times New Roman"/>
          <w:sz w:val="28"/>
          <w:szCs w:val="28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гвардии Российской Федерации</w:t>
      </w:r>
      <w:r w:rsidR="0078581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предъявлении удостоверения проходят в здание суда адвокаты.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</w:t>
      </w:r>
      <w:r w:rsidR="0069520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храну здания (помещения) суда,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докладывается председателю суда</w:t>
      </w:r>
      <w:r w:rsidR="0044096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 Доступ в здание (помещение) суда предоставляется: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C46C3F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арбитражным заседателям на основании соответствующего определения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строительных (подрядных) или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организаций  на основании списков, представляемых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руководителем аппарата 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администратором суда и находящихся на посту охраны.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ситуациям и </w:t>
      </w:r>
      <w:r w:rsidRPr="00467BC9">
        <w:rPr>
          <w:rStyle w:val="20"/>
          <w:rFonts w:eastAsiaTheme="minorHAnsi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>
        <w:rPr>
          <w:rStyle w:val="20"/>
          <w:rFonts w:eastAsiaTheme="minorHAnsi"/>
          <w:sz w:val="28"/>
          <w:szCs w:val="28"/>
        </w:rPr>
        <w:t>работник</w:t>
      </w:r>
      <w:r w:rsidRPr="00467BC9">
        <w:rPr>
          <w:rStyle w:val="20"/>
          <w:rFonts w:eastAsiaTheme="minorHAnsi"/>
          <w:sz w:val="28"/>
          <w:szCs w:val="28"/>
        </w:rPr>
        <w:t xml:space="preserve"> суда.</w:t>
      </w:r>
    </w:p>
    <w:p w:rsidR="00467BC9" w:rsidRDefault="00467BC9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467BC9">
        <w:rPr>
          <w:rStyle w:val="20"/>
          <w:rFonts w:eastAsiaTheme="minorHAnsi"/>
          <w:sz w:val="28"/>
          <w:szCs w:val="28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2.11. 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</w:t>
      </w:r>
      <w:proofErr w:type="spellStart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отказ от прохождения проверки с использованием стационарного или переносного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467BC9" w:rsidRDefault="00A12BDD" w:rsidP="00467B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ли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в одежде,</w:t>
      </w:r>
      <w:r w:rsidR="00067EB4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 позволяющей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идентифицировать личность</w:t>
      </w:r>
      <w:r w:rsidR="0043379B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иного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токсического опьянения;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опеки и попечительства),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педагогов (воспитателей)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52A5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Меры безопасности в суде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4096B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</w:t>
      </w:r>
      <w:r w:rsidRPr="0044096B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запрещается: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риложении к настоящим </w:t>
      </w:r>
      <w:r w:rsidR="0044096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иных случаях фото</w:t>
      </w:r>
      <w:r w:rsidR="00112B0E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щим, либо с иным уполномоченным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лицом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12C3C" w:rsidRPr="00467BC9" w:rsidRDefault="00912C3C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67BC9" w:rsidRPr="00467BC9" w:rsidRDefault="0046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Default="0043379B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4. Ответственность посетителей суда</w:t>
      </w:r>
    </w:p>
    <w:p w:rsidR="00467BC9" w:rsidRPr="00467BC9" w:rsidRDefault="00467BC9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467BC9">
        <w:rPr>
          <w:rStyle w:val="20"/>
          <w:rFonts w:eastAsiaTheme="minorHAnsi"/>
          <w:b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ответственность.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5F4172" w:rsidRPr="00467BC9" w:rsidRDefault="005F4172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</w:p>
    <w:p w:rsidR="005F4172" w:rsidRPr="00467BC9" w:rsidRDefault="005F4172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2074D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Примерный перечень предметов, запрещенных к вносу </w:t>
      </w:r>
    </w:p>
    <w:p w:rsidR="0043379B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здание (помещение) суда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AC44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равил) и боеприпасы.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467BC9" w:rsidRDefault="0069520B" w:rsidP="00467BC9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Pr="00467BC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F4172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Default="005F4172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p w:rsidR="007422D2" w:rsidRDefault="007422D2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122D1A" w:rsidRDefault="00122D1A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D1A" w:rsidRDefault="00122D1A" w:rsidP="00122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2D1A" w:rsidSect="004651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4E" w:rsidRDefault="001E2B4E" w:rsidP="004651AC">
      <w:pPr>
        <w:spacing w:after="0" w:line="240" w:lineRule="auto"/>
      </w:pPr>
      <w:r>
        <w:separator/>
      </w:r>
    </w:p>
  </w:endnote>
  <w:endnote w:type="continuationSeparator" w:id="0">
    <w:p w:rsidR="001E2B4E" w:rsidRDefault="001E2B4E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4E" w:rsidRDefault="001E2B4E" w:rsidP="004651AC">
      <w:pPr>
        <w:spacing w:after="0" w:line="240" w:lineRule="auto"/>
      </w:pPr>
      <w:r>
        <w:separator/>
      </w:r>
    </w:p>
  </w:footnote>
  <w:footnote w:type="continuationSeparator" w:id="0">
    <w:p w:rsidR="001E2B4E" w:rsidRDefault="001E2B4E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8729"/>
      <w:docPartObj>
        <w:docPartGallery w:val="Page Numbers (Top of Page)"/>
        <w:docPartUnique/>
      </w:docPartObj>
    </w:sdtPr>
    <w:sdtEndPr/>
    <w:sdtContent>
      <w:p w:rsidR="004651AC" w:rsidRDefault="00465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2D2">
          <w:rPr>
            <w:noProof/>
          </w:rPr>
          <w:t>9</w:t>
        </w:r>
        <w: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C85"/>
    <w:multiLevelType w:val="hybridMultilevel"/>
    <w:tmpl w:val="BCD613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44C6"/>
    <w:rsid w:val="00066049"/>
    <w:rsid w:val="00067EB4"/>
    <w:rsid w:val="00074FBC"/>
    <w:rsid w:val="00081F86"/>
    <w:rsid w:val="000948AA"/>
    <w:rsid w:val="00096C33"/>
    <w:rsid w:val="000C5E59"/>
    <w:rsid w:val="000F5310"/>
    <w:rsid w:val="00112B0E"/>
    <w:rsid w:val="00122D1A"/>
    <w:rsid w:val="001B7E9C"/>
    <w:rsid w:val="001D4C1A"/>
    <w:rsid w:val="001E2B4E"/>
    <w:rsid w:val="001F0EDF"/>
    <w:rsid w:val="002A5F19"/>
    <w:rsid w:val="002C4528"/>
    <w:rsid w:val="002D5E4B"/>
    <w:rsid w:val="002D65C7"/>
    <w:rsid w:val="002D6B21"/>
    <w:rsid w:val="002E3F35"/>
    <w:rsid w:val="00340665"/>
    <w:rsid w:val="00387699"/>
    <w:rsid w:val="003F3B74"/>
    <w:rsid w:val="003F564E"/>
    <w:rsid w:val="0043379B"/>
    <w:rsid w:val="0044096B"/>
    <w:rsid w:val="004651AC"/>
    <w:rsid w:val="00467BC9"/>
    <w:rsid w:val="0052074D"/>
    <w:rsid w:val="00537E65"/>
    <w:rsid w:val="005F4172"/>
    <w:rsid w:val="006211C8"/>
    <w:rsid w:val="0069520B"/>
    <w:rsid w:val="006A09B1"/>
    <w:rsid w:val="006D4AF8"/>
    <w:rsid w:val="00707BC9"/>
    <w:rsid w:val="0073047A"/>
    <w:rsid w:val="00741BB3"/>
    <w:rsid w:val="007422D2"/>
    <w:rsid w:val="0075029B"/>
    <w:rsid w:val="007717A4"/>
    <w:rsid w:val="00772A3D"/>
    <w:rsid w:val="007855B6"/>
    <w:rsid w:val="00785813"/>
    <w:rsid w:val="007A52A5"/>
    <w:rsid w:val="007D58A1"/>
    <w:rsid w:val="00802F0B"/>
    <w:rsid w:val="00806B58"/>
    <w:rsid w:val="00870549"/>
    <w:rsid w:val="00876B9C"/>
    <w:rsid w:val="0088783E"/>
    <w:rsid w:val="008E6DB7"/>
    <w:rsid w:val="008F27C5"/>
    <w:rsid w:val="00902885"/>
    <w:rsid w:val="00912C3C"/>
    <w:rsid w:val="0093427D"/>
    <w:rsid w:val="0094283D"/>
    <w:rsid w:val="009B1B9D"/>
    <w:rsid w:val="00A12BDD"/>
    <w:rsid w:val="00A45E50"/>
    <w:rsid w:val="00AC44C7"/>
    <w:rsid w:val="00AC582B"/>
    <w:rsid w:val="00B038F6"/>
    <w:rsid w:val="00B257E4"/>
    <w:rsid w:val="00B34F64"/>
    <w:rsid w:val="00B40686"/>
    <w:rsid w:val="00BD7415"/>
    <w:rsid w:val="00BE7571"/>
    <w:rsid w:val="00C45E65"/>
    <w:rsid w:val="00C46C3F"/>
    <w:rsid w:val="00CB2A8B"/>
    <w:rsid w:val="00DA1F78"/>
    <w:rsid w:val="00DF6827"/>
    <w:rsid w:val="00E436F0"/>
    <w:rsid w:val="00EA3422"/>
    <w:rsid w:val="00EC55E1"/>
    <w:rsid w:val="00EE4C32"/>
    <w:rsid w:val="00EF358A"/>
    <w:rsid w:val="00F15427"/>
    <w:rsid w:val="00F54B9D"/>
    <w:rsid w:val="00FA0596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Админ</cp:lastModifiedBy>
  <cp:revision>5</cp:revision>
  <cp:lastPrinted>2023-12-06T09:41:00Z</cp:lastPrinted>
  <dcterms:created xsi:type="dcterms:W3CDTF">2024-02-16T06:54:00Z</dcterms:created>
  <dcterms:modified xsi:type="dcterms:W3CDTF">2025-07-28T13:23:00Z</dcterms:modified>
</cp:coreProperties>
</file>