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МИНИСТЕРСТВО ТРУДА И СОЦИАЛЬНОЙ ЗАЩИТЫ</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РОССИЙСКОЙ ФЕДЕРАЦИИ</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32"/>
          <w:szCs w:val="32"/>
          <w:lang w:eastAsia="ru-RU"/>
        </w:rPr>
        <w:t>ПРИКАЗ</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32"/>
          <w:szCs w:val="32"/>
          <w:lang w:eastAsia="ru-RU"/>
        </w:rPr>
        <w:t>от 7 октября 2013 г. N 530н</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О ТРЕБОВАНИЯХ</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К РАЗМЕЩЕНИЮ И НАПОЛНЕНИЮ ПОДРАЗДЕЛОВ,</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ПОСВЯЩЕННЫХ ВОПРОСАМ ПРОТИВОДЕЙСТВИЯ КОРРУПЦИИ, ОФИЦИАЛЬНЫХ САЙТОВ ФЕДЕРАЛЬНЫХ ГОСУДАРСТВЕННЫХ ОРГАНОВ, ЦЕНТРАЛЬНОГО БАНКА РОССИЙСКОЙ ФЕДЕРАЦИИ,</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ПЕНСИОННОГО ФОНДА РОССИЙСКОЙ ФЕДЕРАЦИИ,</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ОБ ИМУЩЕСТВЕ И ОБЯЗАТЕЛЬСТВАХ ИМУЩЕСТВЕННОГО ХАРАКТЕРА</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Во исполнение </w:t>
      </w:r>
      <w:hyperlink r:id="rId4" w:history="1">
        <w:r w:rsidRPr="00FF49A1">
          <w:rPr>
            <w:rFonts w:ascii="Arial" w:eastAsia="Times New Roman" w:hAnsi="Arial" w:cs="Arial"/>
            <w:color w:val="0000FF"/>
            <w:sz w:val="21"/>
            <w:szCs w:val="21"/>
            <w:u w:val="single"/>
            <w:lang w:eastAsia="ru-RU"/>
          </w:rPr>
          <w:t>подпункта «а» пункта 6</w:t>
        </w:r>
      </w:hyperlink>
      <w:r w:rsidRPr="00FF49A1">
        <w:rPr>
          <w:rFonts w:ascii="Arial" w:eastAsia="Times New Roman" w:hAnsi="Arial" w:cs="Arial"/>
          <w:color w:val="000000"/>
          <w:sz w:val="21"/>
          <w:szCs w:val="21"/>
          <w:lang w:eastAsia="ru-RU"/>
        </w:rPr>
        <w:t> Указа Президента Российской Федерации от 8 июля 2013 г. № 613 «Вопросы противодействия коррупции» (Собрание законодательства Российской Федерации, 2013, N 28, ст. 3813) приказываю:</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Утвердить:</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r:id="rId5" w:anchor="Par46" w:history="1">
        <w:r w:rsidRPr="00FF49A1">
          <w:rPr>
            <w:rFonts w:ascii="Arial" w:eastAsia="Times New Roman" w:hAnsi="Arial" w:cs="Arial"/>
            <w:color w:val="0000FF"/>
            <w:sz w:val="21"/>
            <w:szCs w:val="21"/>
            <w:u w:val="single"/>
            <w:lang w:eastAsia="ru-RU"/>
          </w:rPr>
          <w:t>приложению № 1</w:t>
        </w:r>
      </w:hyperlink>
      <w:r w:rsidRPr="00FF49A1">
        <w:rPr>
          <w:rFonts w:ascii="Arial" w:eastAsia="Times New Roman" w:hAnsi="Arial" w:cs="Arial"/>
          <w:color w:val="000000"/>
          <w:sz w:val="21"/>
          <w:szCs w:val="21"/>
          <w:lang w:eastAsia="ru-RU"/>
        </w:rPr>
        <w:t>;</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r:id="rId6" w:anchor="Par291" w:history="1">
        <w:r w:rsidRPr="00FF49A1">
          <w:rPr>
            <w:rFonts w:ascii="Arial" w:eastAsia="Times New Roman" w:hAnsi="Arial" w:cs="Arial"/>
            <w:color w:val="0000FF"/>
            <w:sz w:val="21"/>
            <w:szCs w:val="21"/>
            <w:u w:val="single"/>
            <w:lang w:eastAsia="ru-RU"/>
          </w:rPr>
          <w:t>приложению № 2</w:t>
        </w:r>
      </w:hyperlink>
      <w:r w:rsidRPr="00FF49A1">
        <w:rPr>
          <w:rFonts w:ascii="Arial" w:eastAsia="Times New Roman" w:hAnsi="Arial" w:cs="Arial"/>
          <w:color w:val="000000"/>
          <w:sz w:val="21"/>
          <w:szCs w:val="21"/>
          <w:lang w:eastAsia="ru-RU"/>
        </w:rPr>
        <w:t>.</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 Департаменту развития государственной службы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3. Контроль за исполнением настоящего приказа возложить на заместителя Министра труда и социальной защиты Российской Федерации Т.В. Блинову.</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Министр</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М.А.ТОПИЛИН</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bookmarkStart w:id="0" w:name="Par40"/>
      <w:bookmarkEnd w:id="0"/>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Приложение № 1</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к приказу Министерства труда</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и социальной защиты</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Российской Федерации</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от 7 октября 2013 г. № 530н</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bookmarkStart w:id="1" w:name="Par46"/>
      <w:bookmarkEnd w:id="1"/>
      <w:r w:rsidRPr="00FF49A1">
        <w:rPr>
          <w:rFonts w:ascii="Arial" w:eastAsia="Times New Roman" w:hAnsi="Arial" w:cs="Arial"/>
          <w:b/>
          <w:bCs/>
          <w:color w:val="000000"/>
          <w:sz w:val="21"/>
          <w:szCs w:val="21"/>
          <w:lang w:eastAsia="ru-RU"/>
        </w:rPr>
        <w:t>ТРЕБОВАНИЯ</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К РАЗМЕЩЕНИЮ И НАПОЛНЕНИЮ ПОДРАЗДЕЛОВ,</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ПОСВЯЩЕННЫХ ВОПРОСАМ ПРОТИВОДЕЙСТВИЯ КОРРУПЦИИ, ОФИЦИАЛЬНЫХ САЙТОВ ФЕДЕРАЛЬНЫХ ГОСУДАРСТВЕННЫХ ОРГАНОВ, ЦЕНТРАЛЬНОГО БАНКА РОССИЙСКОЙ ФЕДЕРАЦИИ,</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lastRenderedPageBreak/>
        <w:t>ПЕНСИОННОГО ФОНДА РОССИЙСКОЙ ФЕДЕРАЦИИ,</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ФОНДА СОЦИАЛЬНОГО СТРАХОВАНИЯ РОССИЙСКОЙ ФЕДЕРАЦИИ, ФЕДЕРАЛЬНОГО ФОНДА ОБЯЗАТЕЛЬНОГО МЕДИЦИНСКОГО</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СТРАХОВАНИЯ, ГОСУДАРСТВЕННЫХ КОРПОРАЦИЙ (КОМПАНИЙ), ИНЫХ</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ОРГАНИЗАЦИЙ, СОЗДАННЫХ НА ОСНОВАНИИ ФЕДЕРАЛЬНЫХ ЗАКОНОВ</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bookmarkStart w:id="2" w:name="Par56"/>
      <w:bookmarkEnd w:id="2"/>
      <w:r w:rsidRPr="00FF49A1">
        <w:rPr>
          <w:rFonts w:ascii="Arial" w:eastAsia="Times New Roman" w:hAnsi="Arial" w:cs="Arial"/>
          <w:color w:val="000000"/>
          <w:sz w:val="21"/>
          <w:szCs w:val="21"/>
          <w:lang w:eastAsia="ru-RU"/>
        </w:rPr>
        <w:t>I. Общие положения</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(далее - сайт) осуществляется в соответствии с настоящими требованиями.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3. При наполнении подразделов, посвященных вопросам противодействия коррупции, сайтов информация, отнесенная к </w:t>
      </w:r>
      <w:hyperlink r:id="rId7" w:history="1">
        <w:r w:rsidRPr="00FF49A1">
          <w:rPr>
            <w:rFonts w:ascii="Arial" w:eastAsia="Times New Roman" w:hAnsi="Arial" w:cs="Arial"/>
            <w:color w:val="0000FF"/>
            <w:sz w:val="21"/>
            <w:szCs w:val="21"/>
            <w:u w:val="single"/>
            <w:lang w:eastAsia="ru-RU"/>
          </w:rPr>
          <w:t>государственной тайне</w:t>
        </w:r>
      </w:hyperlink>
      <w:r w:rsidRPr="00FF49A1">
        <w:rPr>
          <w:rFonts w:ascii="Arial" w:eastAsia="Times New Roman" w:hAnsi="Arial" w:cs="Arial"/>
          <w:color w:val="000000"/>
          <w:sz w:val="21"/>
          <w:szCs w:val="21"/>
          <w:lang w:eastAsia="ru-RU"/>
        </w:rPr>
        <w:t> или являющаяся </w:t>
      </w:r>
      <w:hyperlink r:id="rId8" w:history="1">
        <w:r w:rsidRPr="00FF49A1">
          <w:rPr>
            <w:rFonts w:ascii="Arial" w:eastAsia="Times New Roman" w:hAnsi="Arial" w:cs="Arial"/>
            <w:color w:val="0000FF"/>
            <w:sz w:val="21"/>
            <w:szCs w:val="21"/>
            <w:u w:val="single"/>
            <w:lang w:eastAsia="ru-RU"/>
          </w:rPr>
          <w:t>конфиденциальной</w:t>
        </w:r>
      </w:hyperlink>
      <w:r w:rsidRPr="00FF49A1">
        <w:rPr>
          <w:rFonts w:ascii="Arial" w:eastAsia="Times New Roman" w:hAnsi="Arial" w:cs="Arial"/>
          <w:color w:val="000000"/>
          <w:sz w:val="21"/>
          <w:szCs w:val="21"/>
          <w:lang w:eastAsia="ru-RU"/>
        </w:rPr>
        <w:t>, не размещается.</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bookmarkStart w:id="3" w:name="Par62"/>
      <w:bookmarkEnd w:id="3"/>
      <w:r w:rsidRPr="00FF49A1">
        <w:rPr>
          <w:rFonts w:ascii="Arial" w:eastAsia="Times New Roman" w:hAnsi="Arial" w:cs="Arial"/>
          <w:color w:val="000000"/>
          <w:sz w:val="21"/>
          <w:szCs w:val="21"/>
          <w:lang w:eastAsia="ru-RU"/>
        </w:rPr>
        <w:t>II. Размещение подразделов, посвященных вопросам противодействия коррупции</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4.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5.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bookmarkStart w:id="4" w:name="Par68"/>
      <w:bookmarkEnd w:id="4"/>
      <w:r w:rsidRPr="00FF49A1">
        <w:rPr>
          <w:rFonts w:ascii="Arial" w:eastAsia="Times New Roman" w:hAnsi="Arial" w:cs="Arial"/>
          <w:color w:val="000000"/>
          <w:sz w:val="21"/>
          <w:szCs w:val="21"/>
          <w:lang w:eastAsia="ru-RU"/>
        </w:rPr>
        <w:t>III. Требования к наполнению подразделов, посвященных</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вопросам противодействия коррупции</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6. В подразделе, посвященном вопросам противодействия коррупции (далее - раздел «Противодействие коррупции»), сайтов содержатся последовательные ссылки на следующие подразделы: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«Нормативные правовые и иные акты в сфере противодействия коррупции»;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«Антикоррупционная экспертиза»;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«Методические материалы»;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«Формы документов, связанных с противодействием коррупции, для заполнения»;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«Сведения о доходах, расходах, об имуществе и обязательствах имущественного характера»;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«Комиссия по соблюдению требований к служебному поведению и урегулированию конфликта интересов (аттестационная комиссия)»</w:t>
      </w:r>
      <w:bookmarkStart w:id="5" w:name="_ftnref1"/>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"_ftn1"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[1]</w:t>
      </w:r>
      <w:r w:rsidRPr="00FF49A1">
        <w:rPr>
          <w:rFonts w:ascii="Arial" w:eastAsia="Times New Roman" w:hAnsi="Arial" w:cs="Arial"/>
          <w:color w:val="000000"/>
          <w:sz w:val="21"/>
          <w:szCs w:val="21"/>
          <w:lang w:eastAsia="ru-RU"/>
        </w:rPr>
        <w:fldChar w:fldCharType="end"/>
      </w:r>
      <w:bookmarkEnd w:id="5"/>
      <w:r w:rsidRPr="00FF49A1">
        <w:rPr>
          <w:rFonts w:ascii="Arial" w:eastAsia="Times New Roman" w:hAnsi="Arial" w:cs="Arial"/>
          <w:color w:val="000000"/>
          <w:sz w:val="21"/>
          <w:szCs w:val="21"/>
          <w:lang w:eastAsia="ru-RU"/>
        </w:rPr>
        <w:t>;</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«Обратная связь для сообщений о фактах коррупции».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8. Подраздел «Нормативные правовые и иные акты в сфере противодействия коррупции» содержит:</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w:t>
      </w:r>
      <w:r w:rsidRPr="00FF49A1">
        <w:rPr>
          <w:rFonts w:ascii="Arial" w:eastAsia="Times New Roman" w:hAnsi="Arial" w:cs="Arial"/>
          <w:color w:val="000000"/>
          <w:sz w:val="21"/>
          <w:szCs w:val="21"/>
          <w:lang w:eastAsia="ru-RU"/>
        </w:rPr>
        <w:lastRenderedPageBreak/>
        <w:t>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bookmarkStart w:id="6" w:name="Par87"/>
      <w:bookmarkEnd w:id="6"/>
      <w:r w:rsidRPr="00FF49A1">
        <w:rPr>
          <w:rFonts w:ascii="Arial" w:eastAsia="Times New Roman" w:hAnsi="Arial" w:cs="Arial"/>
          <w:color w:val="000000"/>
          <w:sz w:val="21"/>
          <w:szCs w:val="21"/>
          <w:lang w:eastAsia="ru-RU"/>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план по противодействию коррупции;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перечень должностей, при назначении на которые граждане и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9" w:history="1">
        <w:r w:rsidRPr="00FF49A1">
          <w:rPr>
            <w:rFonts w:ascii="Arial" w:eastAsia="Times New Roman" w:hAnsi="Arial" w:cs="Arial"/>
            <w:color w:val="0000FF"/>
            <w:sz w:val="21"/>
            <w:szCs w:val="21"/>
            <w:u w:val="single"/>
            <w:lang w:eastAsia="ru-RU"/>
          </w:rPr>
          <w:t>разделом III</w:t>
        </w:r>
      </w:hyperlink>
      <w:r w:rsidRPr="00FF49A1">
        <w:rPr>
          <w:rFonts w:ascii="Arial" w:eastAsia="Times New Roman" w:hAnsi="Arial" w:cs="Arial"/>
          <w:color w:val="000000"/>
          <w:sz w:val="21"/>
          <w:szCs w:val="21"/>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w:t>
      </w:r>
      <w:bookmarkStart w:id="7" w:name="_ftnref2"/>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"_ftn2"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[2]</w:t>
      </w:r>
      <w:r w:rsidRPr="00FF49A1">
        <w:rPr>
          <w:rFonts w:ascii="Arial" w:eastAsia="Times New Roman" w:hAnsi="Arial" w:cs="Arial"/>
          <w:color w:val="000000"/>
          <w:sz w:val="21"/>
          <w:szCs w:val="21"/>
          <w:lang w:eastAsia="ru-RU"/>
        </w:rPr>
        <w:fldChar w:fldCharType="end"/>
      </w:r>
      <w:bookmarkEnd w:id="7"/>
      <w:r w:rsidRPr="00FF49A1">
        <w:rPr>
          <w:rFonts w:ascii="Arial" w:eastAsia="Times New Roman" w:hAnsi="Arial" w:cs="Arial"/>
          <w:color w:val="000000"/>
          <w:sz w:val="21"/>
          <w:szCs w:val="21"/>
          <w:lang w:eastAsia="ru-RU"/>
        </w:rPr>
        <w:t>;</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перечень должностей в организациях, создаваемых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порядок представления сведений о доходах, расходах, об имуществе и обязательствах имущественного характера;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положение об осуществлении проверки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9. Нормативные правовые и иные акты в сфере противодействия коррупции (далее - нормативные и иные акты), указанные в </w:t>
      </w:r>
      <w:hyperlink r:id="rId10" w:anchor="Par87" w:history="1">
        <w:r w:rsidRPr="00FF49A1">
          <w:rPr>
            <w:rFonts w:ascii="Arial" w:eastAsia="Times New Roman" w:hAnsi="Arial" w:cs="Arial"/>
            <w:color w:val="0000FF"/>
            <w:sz w:val="21"/>
            <w:szCs w:val="21"/>
            <w:u w:val="single"/>
            <w:lang w:eastAsia="ru-RU"/>
          </w:rPr>
          <w:t>подпункте «б» пункта 8</w:t>
        </w:r>
      </w:hyperlink>
      <w:r w:rsidRPr="00FF49A1">
        <w:rPr>
          <w:rFonts w:ascii="Arial" w:eastAsia="Times New Roman" w:hAnsi="Arial" w:cs="Arial"/>
          <w:color w:val="000000"/>
          <w:sz w:val="21"/>
          <w:szCs w:val="21"/>
          <w:lang w:eastAsia="ru-RU"/>
        </w:rPr>
        <w:t>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Нормативные и иные акты должны размещаться в действующей редакции.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гиперссылка для последовательного перехода к методическим материалам, одобренным президиумом Совета </w:t>
      </w:r>
      <w:r w:rsidRPr="00FF49A1">
        <w:rPr>
          <w:rFonts w:ascii="Arial" w:eastAsia="Times New Roman" w:hAnsi="Arial" w:cs="Arial"/>
          <w:color w:val="000000"/>
          <w:sz w:val="21"/>
          <w:szCs w:val="21"/>
          <w:lang w:eastAsia="ru-RU"/>
        </w:rPr>
        <w:lastRenderedPageBreak/>
        <w:t>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11" w:history="1">
        <w:r w:rsidRPr="00FF49A1">
          <w:rPr>
            <w:rFonts w:ascii="Arial" w:eastAsia="Times New Roman" w:hAnsi="Arial" w:cs="Arial"/>
            <w:color w:val="0000FF"/>
            <w:sz w:val="21"/>
            <w:szCs w:val="21"/>
            <w:u w:val="single"/>
            <w:lang w:eastAsia="ru-RU"/>
          </w:rPr>
          <w:t>законодательства</w:t>
        </w:r>
      </w:hyperlink>
      <w:r w:rsidRPr="00FF49A1">
        <w:rPr>
          <w:rFonts w:ascii="Arial" w:eastAsia="Times New Roman" w:hAnsi="Arial" w:cs="Arial"/>
          <w:color w:val="000000"/>
          <w:sz w:val="21"/>
          <w:szCs w:val="21"/>
          <w:lang w:eastAsia="ru-RU"/>
        </w:rPr>
        <w:t> о противодействии коррупции: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обращение гражданина, юридического лица по фактам коррупционных правонарушений;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обращение бывшего служащего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 уведомление представителя нанимателя (работодателя) о намерении выполнять иную оплачиваемую работу;</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ж) справка 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и) справка о доходах, об имуществе и обязательствах имущественного характера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12" w:history="1">
        <w:r w:rsidRPr="00FF49A1">
          <w:rPr>
            <w:rFonts w:ascii="Arial" w:eastAsia="Times New Roman" w:hAnsi="Arial" w:cs="Arial"/>
            <w:color w:val="0000FF"/>
            <w:sz w:val="21"/>
            <w:szCs w:val="21"/>
            <w:u w:val="single"/>
            <w:lang w:eastAsia="ru-RU"/>
          </w:rPr>
          <w:t>пунктом 2</w:t>
        </w:r>
      </w:hyperlink>
      <w:r w:rsidRPr="00FF49A1">
        <w:rPr>
          <w:rFonts w:ascii="Arial" w:eastAsia="Times New Roman" w:hAnsi="Arial" w:cs="Arial"/>
          <w:color w:val="000000"/>
          <w:sz w:val="21"/>
          <w:szCs w:val="21"/>
          <w:lang w:eastAsia="ru-RU"/>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w:t>
      </w:r>
      <w:r w:rsidRPr="00FF49A1">
        <w:rPr>
          <w:rFonts w:ascii="Arial" w:eastAsia="Times New Roman" w:hAnsi="Arial" w:cs="Arial"/>
          <w:color w:val="000000"/>
          <w:sz w:val="21"/>
          <w:szCs w:val="21"/>
          <w:lang w:eastAsia="ru-RU"/>
        </w:rPr>
        <w:lastRenderedPageBreak/>
        <w:t>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 613 «Вопросы противодействия коррупции»</w:t>
      </w:r>
      <w:bookmarkStart w:id="8" w:name="_ftnref3"/>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"_ftn3"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[3]</w:t>
      </w:r>
      <w:r w:rsidRPr="00FF49A1">
        <w:rPr>
          <w:rFonts w:ascii="Arial" w:eastAsia="Times New Roman" w:hAnsi="Arial" w:cs="Arial"/>
          <w:color w:val="000000"/>
          <w:sz w:val="21"/>
          <w:szCs w:val="21"/>
          <w:lang w:eastAsia="ru-RU"/>
        </w:rPr>
        <w:fldChar w:fldCharType="end"/>
      </w:r>
      <w:bookmarkEnd w:id="8"/>
      <w:r w:rsidRPr="00FF49A1">
        <w:rPr>
          <w:rFonts w:ascii="Arial" w:eastAsia="Times New Roman" w:hAnsi="Arial" w:cs="Arial"/>
          <w:color w:val="000000"/>
          <w:sz w:val="21"/>
          <w:szCs w:val="21"/>
          <w:lang w:eastAsia="ru-RU"/>
        </w:rPr>
        <w:t> (далее - Порядок).</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15. Сведения о доходах, расходах, об имуществе и обязательствах имущественного характера размещаются: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без ограничения доступа к ним третьих лиц;</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16.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18. Не допускается: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размещение на сайтах заархивированных сведений (формат .rar, .zip), сканированных документов;</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 использование на сайтах форматов, требующих дополнительного распознавания;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 установление кодов безопасности для доступа к сведениям о доходах, расходах, об имуществе и обязательствах имущественного характера;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19.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не подлежат удалению;</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находятся в открытом доступе (размещены на сайтах) в течение всего периода замещения лицом государственной должности Российской Федерации, служащим (работником)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bookmarkStart w:id="9" w:name="Par138"/>
      <w:bookmarkEnd w:id="9"/>
      <w:r w:rsidRPr="00FF49A1">
        <w:rPr>
          <w:rFonts w:ascii="Arial" w:eastAsia="Times New Roman" w:hAnsi="Arial" w:cs="Arial"/>
          <w:color w:val="000000"/>
          <w:sz w:val="21"/>
          <w:szCs w:val="21"/>
          <w:lang w:eastAsia="ru-RU"/>
        </w:rPr>
        <w:t>21. В случае поступления, а также перевода лица, замещающего государственную должность Российской Федерации, служащего (работника) на службу (работу) в другой государственный орган, в Банк России, фонд, корпорацию, организацию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его семьи за все предшествующие периоды, размещенные ранее, подлежат размещению в подразделе «Сведения о доходах, расходах, имуществе и обязательствах имущественного характера» сайта соответствующего государственного органа, Банка России, фонда, корпорации, организации, в котором он замещает государственную должность Российской Федерации, проходит службу, осуществляет трудовую деятельность.</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lastRenderedPageBreak/>
        <w:t>22. Получение сведений о доходах, расходах,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 Банка России, фонда,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bookmarkStart w:id="10" w:name="Par140"/>
      <w:bookmarkEnd w:id="10"/>
      <w:r w:rsidRPr="00FF49A1">
        <w:rPr>
          <w:rFonts w:ascii="Arial" w:eastAsia="Times New Roman" w:hAnsi="Arial" w:cs="Arial"/>
          <w:color w:val="000000"/>
          <w:sz w:val="21"/>
          <w:szCs w:val="21"/>
          <w:lang w:eastAsia="ru-RU"/>
        </w:rPr>
        <w:t>23. Размещение по новому месту службы (работы) сведений о доходах, расходах, об имуществе и обязательствах имущественного характера лица, замещающего государственную должность Российской Федерации, служащего (работника) и сведений о доходах, расходах, об имуществе и обязательствах имущественного характера членов его семьи осуществляется в соответствии с настоящими требованиями. При этом делается отметка о том, что данное лицо поступило на службу (работу) в отчетном году, а также указывается гиперссылка на страницу сайта соответствующего государственного органа, Банка России, фонда, корпорации, организации, с которой взяты ранее размещенные сведения.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24. В случае упразднения государственного органа, фонда, корпорации, организации, в котором служащий (работник) ранее замещал (занимал) должность, положения, установленные </w:t>
      </w:r>
      <w:hyperlink r:id="rId13" w:anchor="Par138" w:history="1">
        <w:r w:rsidRPr="00FF49A1">
          <w:rPr>
            <w:rFonts w:ascii="Arial" w:eastAsia="Times New Roman" w:hAnsi="Arial" w:cs="Arial"/>
            <w:color w:val="0000FF"/>
            <w:sz w:val="21"/>
            <w:szCs w:val="21"/>
            <w:u w:val="single"/>
            <w:lang w:eastAsia="ru-RU"/>
          </w:rPr>
          <w:t>пунктами 21</w:t>
        </w:r>
      </w:hyperlink>
      <w:r w:rsidRPr="00FF49A1">
        <w:rPr>
          <w:rFonts w:ascii="Arial" w:eastAsia="Times New Roman" w:hAnsi="Arial" w:cs="Arial"/>
          <w:color w:val="000000"/>
          <w:sz w:val="21"/>
          <w:szCs w:val="21"/>
          <w:lang w:eastAsia="ru-RU"/>
        </w:rPr>
        <w:t> - </w:t>
      </w:r>
      <w:hyperlink r:id="rId14" w:anchor="Par140" w:history="1">
        <w:r w:rsidRPr="00FF49A1">
          <w:rPr>
            <w:rFonts w:ascii="Arial" w:eastAsia="Times New Roman" w:hAnsi="Arial" w:cs="Arial"/>
            <w:color w:val="0000FF"/>
            <w:sz w:val="21"/>
            <w:szCs w:val="21"/>
            <w:u w:val="single"/>
            <w:lang w:eastAsia="ru-RU"/>
          </w:rPr>
          <w:t>23</w:t>
        </w:r>
      </w:hyperlink>
      <w:r w:rsidRPr="00FF49A1">
        <w:rPr>
          <w:rFonts w:ascii="Arial" w:eastAsia="Times New Roman" w:hAnsi="Arial" w:cs="Arial"/>
          <w:color w:val="000000"/>
          <w:sz w:val="21"/>
          <w:szCs w:val="21"/>
          <w:lang w:eastAsia="ru-RU"/>
        </w:rPr>
        <w:t> настоящих требований, не применяются.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Положение о комиссии;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 сведения о планируемом проведении заседания комиссии (анонс, повестка), о состоявшемся заседании комиссии, принятых решениях;</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 порядок подачи заявлений для рассмотрения на комиссии.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26. Сведения о составе комиссии должны размещаться в виде приложенного файла в одном или нескольких из следующих форматов: .DOC, .DOCX, .RTF, .PDF.</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основание для проведения заседания комиссии;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Учитывая, что решения комиссии могут содержать персональные данные, исходя из положения </w:t>
      </w:r>
      <w:hyperlink r:id="rId15" w:history="1">
        <w:r w:rsidRPr="00FF49A1">
          <w:rPr>
            <w:rFonts w:ascii="Arial" w:eastAsia="Times New Roman" w:hAnsi="Arial" w:cs="Arial"/>
            <w:color w:val="0000FF"/>
            <w:sz w:val="21"/>
            <w:szCs w:val="21"/>
            <w:u w:val="single"/>
            <w:lang w:eastAsia="ru-RU"/>
          </w:rPr>
          <w:t>пункта 11 части 1 статьи 6</w:t>
        </w:r>
      </w:hyperlink>
      <w:r w:rsidRPr="00FF49A1">
        <w:rPr>
          <w:rFonts w:ascii="Arial" w:eastAsia="Times New Roman" w:hAnsi="Arial" w:cs="Arial"/>
          <w:color w:val="000000"/>
          <w:sz w:val="21"/>
          <w:szCs w:val="21"/>
          <w:lang w:eastAsia="ru-RU"/>
        </w:rPr>
        <w:t> Федерального закона от 27 июля 2006 г. № 152-ФЗ «О персональных данных»</w:t>
      </w:r>
      <w:bookmarkStart w:id="11" w:name="_ftnref4"/>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"_ftn4"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[4]</w:t>
      </w:r>
      <w:r w:rsidRPr="00FF49A1">
        <w:rPr>
          <w:rFonts w:ascii="Arial" w:eastAsia="Times New Roman" w:hAnsi="Arial" w:cs="Arial"/>
          <w:color w:val="000000"/>
          <w:sz w:val="21"/>
          <w:szCs w:val="21"/>
          <w:lang w:eastAsia="ru-RU"/>
        </w:rPr>
        <w:fldChar w:fldCharType="end"/>
      </w:r>
      <w:bookmarkEnd w:id="11"/>
      <w:r w:rsidRPr="00FF49A1">
        <w:rPr>
          <w:rFonts w:ascii="Arial" w:eastAsia="Times New Roman" w:hAnsi="Arial" w:cs="Arial"/>
          <w:color w:val="000000"/>
          <w:sz w:val="21"/>
          <w:szCs w:val="21"/>
          <w:lang w:eastAsia="ru-RU"/>
        </w:rPr>
        <w: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а) нормативном правовом акте, регламентирующем порядок рассмотрения обращений граждан;</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lastRenderedPageBreak/>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left="5103"/>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p w:rsidR="00FF49A1" w:rsidRPr="00FF49A1" w:rsidRDefault="00FF49A1" w:rsidP="00FF49A1">
      <w:pPr>
        <w:shd w:val="clear" w:color="auto" w:fill="FFFFFF"/>
        <w:spacing w:after="0" w:line="240" w:lineRule="auto"/>
        <w:ind w:left="5103"/>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Приложение</w:t>
      </w:r>
    </w:p>
    <w:p w:rsidR="00FF49A1" w:rsidRPr="00FF49A1" w:rsidRDefault="00FF49A1" w:rsidP="00FF49A1">
      <w:pPr>
        <w:shd w:val="clear" w:color="auto" w:fill="FFFFFF"/>
        <w:spacing w:after="0" w:line="240" w:lineRule="auto"/>
        <w:ind w:left="5103"/>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к требованиям к размещению и наполнению подразделов,</w:t>
      </w:r>
    </w:p>
    <w:p w:rsidR="00FF49A1" w:rsidRPr="00FF49A1" w:rsidRDefault="00FF49A1" w:rsidP="00FF49A1">
      <w:pPr>
        <w:shd w:val="clear" w:color="auto" w:fill="FFFFFF"/>
        <w:spacing w:after="0" w:line="240" w:lineRule="auto"/>
        <w:ind w:left="5103"/>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посвященных вопросам противодействия коррупции, официальных сайтов федеральных государственных органов,</w:t>
      </w:r>
    </w:p>
    <w:p w:rsidR="00FF49A1" w:rsidRPr="00FF49A1" w:rsidRDefault="00FF49A1" w:rsidP="00FF49A1">
      <w:pPr>
        <w:shd w:val="clear" w:color="auto" w:fill="FFFFFF"/>
        <w:spacing w:after="0" w:line="240" w:lineRule="auto"/>
        <w:ind w:left="5103"/>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 530н</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Форма</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Сведения о доходах, расходах,</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об имуществе и обязательствах имущественного характера</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за период с 1 января 20__ г. по 31 декабря 20__ г.</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tbl>
      <w:tblPr>
        <w:tblW w:w="10920" w:type="dxa"/>
        <w:tblInd w:w="-931" w:type="dxa"/>
        <w:shd w:val="clear" w:color="auto" w:fill="FFFFFF"/>
        <w:tblCellMar>
          <w:left w:w="0" w:type="dxa"/>
          <w:right w:w="0" w:type="dxa"/>
        </w:tblCellMar>
        <w:tblLook w:val="04A0" w:firstRow="1" w:lastRow="0" w:firstColumn="1" w:lastColumn="0" w:noHBand="0" w:noVBand="1"/>
      </w:tblPr>
      <w:tblGrid>
        <w:gridCol w:w="342"/>
        <w:gridCol w:w="1767"/>
        <w:gridCol w:w="936"/>
        <w:gridCol w:w="726"/>
        <w:gridCol w:w="1221"/>
        <w:gridCol w:w="791"/>
        <w:gridCol w:w="1201"/>
        <w:gridCol w:w="726"/>
        <w:gridCol w:w="791"/>
        <w:gridCol w:w="1201"/>
        <w:gridCol w:w="1199"/>
        <w:gridCol w:w="1486"/>
        <w:gridCol w:w="1323"/>
      </w:tblGrid>
      <w:tr w:rsidR="00FF49A1" w:rsidRPr="00FF49A1" w:rsidTr="00FF49A1">
        <w:tc>
          <w:tcPr>
            <w:tcW w:w="426" w:type="dxa"/>
            <w:vMerge w:val="restart"/>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N п/п</w:t>
            </w:r>
          </w:p>
        </w:tc>
        <w:tc>
          <w:tcPr>
            <w:tcW w:w="1134"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Фамилия и инициалы лица, чьи сведения размещаются</w:t>
            </w:r>
          </w:p>
        </w:tc>
        <w:tc>
          <w:tcPr>
            <w:tcW w:w="992"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Должность</w:t>
            </w:r>
          </w:p>
        </w:tc>
        <w:tc>
          <w:tcPr>
            <w:tcW w:w="3118" w:type="dxa"/>
            <w:gridSpan w:val="4"/>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Объекты недвижимости, находящиеся в собственности</w:t>
            </w:r>
          </w:p>
        </w:tc>
        <w:tc>
          <w:tcPr>
            <w:tcW w:w="2268" w:type="dxa"/>
            <w:gridSpan w:val="3"/>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Объекты недвижимости, находящиеся в пользовании</w:t>
            </w:r>
          </w:p>
        </w:tc>
        <w:tc>
          <w:tcPr>
            <w:tcW w:w="709"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Транспортные средства (вид, марка)</w:t>
            </w:r>
          </w:p>
        </w:tc>
        <w:tc>
          <w:tcPr>
            <w:tcW w:w="992"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Декларированный годовой доход </w:t>
            </w:r>
            <w:bookmarkStart w:id="12" w:name="_ftnref5"/>
            <w:r w:rsidRPr="00FF49A1">
              <w:rPr>
                <w:rFonts w:ascii="Arial" w:eastAsia="Times New Roman" w:hAnsi="Arial" w:cs="Arial"/>
                <w:color w:val="000000"/>
                <w:sz w:val="16"/>
                <w:szCs w:val="16"/>
                <w:lang w:eastAsia="ru-RU"/>
              </w:rPr>
              <w:fldChar w:fldCharType="begin"/>
            </w:r>
            <w:r w:rsidRPr="00FF49A1">
              <w:rPr>
                <w:rFonts w:ascii="Arial" w:eastAsia="Times New Roman" w:hAnsi="Arial" w:cs="Arial"/>
                <w:color w:val="000000"/>
                <w:sz w:val="16"/>
                <w:szCs w:val="16"/>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"_ftn5" \o "" </w:instrText>
            </w:r>
            <w:r w:rsidRPr="00FF49A1">
              <w:rPr>
                <w:rFonts w:ascii="Arial" w:eastAsia="Times New Roman" w:hAnsi="Arial" w:cs="Arial"/>
                <w:color w:val="000000"/>
                <w:sz w:val="16"/>
                <w:szCs w:val="16"/>
                <w:lang w:eastAsia="ru-RU"/>
              </w:rPr>
              <w:fldChar w:fldCharType="separate"/>
            </w:r>
            <w:r w:rsidRPr="00FF49A1">
              <w:rPr>
                <w:rFonts w:ascii="Arial" w:eastAsia="Times New Roman" w:hAnsi="Arial" w:cs="Arial"/>
                <w:color w:val="0066CC"/>
                <w:sz w:val="16"/>
                <w:szCs w:val="16"/>
                <w:u w:val="single"/>
                <w:lang w:eastAsia="ru-RU"/>
              </w:rPr>
              <w:t>[5]</w:t>
            </w:r>
            <w:r w:rsidRPr="00FF49A1">
              <w:rPr>
                <w:rFonts w:ascii="Arial" w:eastAsia="Times New Roman" w:hAnsi="Arial" w:cs="Arial"/>
                <w:color w:val="000000"/>
                <w:sz w:val="16"/>
                <w:szCs w:val="16"/>
                <w:lang w:eastAsia="ru-RU"/>
              </w:rPr>
              <w:fldChar w:fldCharType="end"/>
            </w:r>
            <w:bookmarkEnd w:id="12"/>
            <w:r w:rsidRPr="00FF49A1">
              <w:rPr>
                <w:rFonts w:ascii="Arial" w:eastAsia="Times New Roman" w:hAnsi="Arial" w:cs="Arial"/>
                <w:color w:val="000000"/>
                <w:sz w:val="16"/>
                <w:szCs w:val="16"/>
                <w:lang w:eastAsia="ru-RU"/>
              </w:rPr>
              <w:t> (руб.)</w:t>
            </w:r>
          </w:p>
        </w:tc>
        <w:tc>
          <w:tcPr>
            <w:tcW w:w="1276"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vAlign w:val="cente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Сведения об источниках получения средств, за счет которых совершена сделка</w:t>
            </w:r>
            <w:bookmarkStart w:id="13" w:name="_ftnref6"/>
            <w:r w:rsidRPr="00FF49A1">
              <w:rPr>
                <w:rFonts w:ascii="Arial" w:eastAsia="Times New Roman" w:hAnsi="Arial" w:cs="Arial"/>
                <w:color w:val="000000"/>
                <w:sz w:val="16"/>
                <w:szCs w:val="16"/>
                <w:lang w:eastAsia="ru-RU"/>
              </w:rPr>
              <w:fldChar w:fldCharType="begin"/>
            </w:r>
            <w:r w:rsidRPr="00FF49A1">
              <w:rPr>
                <w:rFonts w:ascii="Arial" w:eastAsia="Times New Roman" w:hAnsi="Arial" w:cs="Arial"/>
                <w:color w:val="000000"/>
                <w:sz w:val="16"/>
                <w:szCs w:val="16"/>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"_ftn6" \o "" </w:instrText>
            </w:r>
            <w:r w:rsidRPr="00FF49A1">
              <w:rPr>
                <w:rFonts w:ascii="Arial" w:eastAsia="Times New Roman" w:hAnsi="Arial" w:cs="Arial"/>
                <w:color w:val="000000"/>
                <w:sz w:val="16"/>
                <w:szCs w:val="16"/>
                <w:lang w:eastAsia="ru-RU"/>
              </w:rPr>
              <w:fldChar w:fldCharType="separate"/>
            </w:r>
            <w:r w:rsidRPr="00FF49A1">
              <w:rPr>
                <w:rFonts w:ascii="Arial" w:eastAsia="Times New Roman" w:hAnsi="Arial" w:cs="Arial"/>
                <w:color w:val="0066CC"/>
                <w:sz w:val="16"/>
                <w:szCs w:val="16"/>
                <w:u w:val="single"/>
                <w:lang w:eastAsia="ru-RU"/>
              </w:rPr>
              <w:t>[6]</w:t>
            </w:r>
            <w:r w:rsidRPr="00FF49A1">
              <w:rPr>
                <w:rFonts w:ascii="Arial" w:eastAsia="Times New Roman" w:hAnsi="Arial" w:cs="Arial"/>
                <w:color w:val="000000"/>
                <w:sz w:val="16"/>
                <w:szCs w:val="16"/>
                <w:lang w:eastAsia="ru-RU"/>
              </w:rPr>
              <w:fldChar w:fldCharType="end"/>
            </w:r>
            <w:bookmarkEnd w:id="13"/>
            <w:r w:rsidRPr="00FF49A1">
              <w:rPr>
                <w:rFonts w:ascii="Arial" w:eastAsia="Times New Roman" w:hAnsi="Arial" w:cs="Arial"/>
                <w:color w:val="000000"/>
                <w:sz w:val="16"/>
                <w:szCs w:val="16"/>
                <w:lang w:eastAsia="ru-RU"/>
              </w:rPr>
              <w:t> (вид приобретенного имущества, источники)</w:t>
            </w:r>
          </w:p>
        </w:tc>
      </w:tr>
      <w:tr w:rsidR="00FF49A1" w:rsidRPr="00FF49A1" w:rsidTr="00FF49A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вид объекта</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вид собственности</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площадь (кв. м)</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страна расположения</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вид объекта</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площадь (кв. м)</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страна расположения</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1.</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Супруг (супруга)</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Несовершеннолетний ребенок</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2.</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Супруг (супруга)</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42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lastRenderedPageBreak/>
              <w:t> </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Несовершеннолетний ребенок</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1559"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85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70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9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9A1" w:rsidRPr="00FF49A1" w:rsidRDefault="00FF49A1" w:rsidP="00FF49A1">
            <w:pPr>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0"/>
                <w:szCs w:val="20"/>
                <w:lang w:eastAsia="ru-RU"/>
              </w:rPr>
              <w:t> </w:t>
            </w:r>
          </w:p>
        </w:tc>
      </w:tr>
      <w:tr w:rsidR="00FF49A1" w:rsidRPr="00FF49A1" w:rsidTr="00FF49A1">
        <w:tc>
          <w:tcPr>
            <w:tcW w:w="345"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Arial" w:eastAsia="Times New Roman" w:hAnsi="Arial" w:cs="Arial"/>
                <w:color w:val="000000"/>
                <w:sz w:val="21"/>
                <w:szCs w:val="21"/>
                <w:lang w:eastAsia="ru-RU"/>
              </w:rPr>
            </w:pPr>
          </w:p>
        </w:tc>
        <w:tc>
          <w:tcPr>
            <w:tcW w:w="171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945"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185"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FFFFFF"/>
            <w:vAlign w:val="center"/>
            <w:hideMark/>
          </w:tcPr>
          <w:p w:rsidR="00FF49A1" w:rsidRPr="00FF49A1" w:rsidRDefault="00FF49A1" w:rsidP="00FF49A1">
            <w:pPr>
              <w:spacing w:after="0" w:line="240" w:lineRule="auto"/>
              <w:rPr>
                <w:rFonts w:ascii="Times New Roman" w:eastAsia="Times New Roman" w:hAnsi="Times New Roman" w:cs="Times New Roman"/>
                <w:sz w:val="20"/>
                <w:szCs w:val="20"/>
                <w:lang w:eastAsia="ru-RU"/>
              </w:rPr>
            </w:pPr>
          </w:p>
        </w:tc>
      </w:tr>
    </w:tbl>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bookmarkStart w:id="14" w:name="Par285"/>
      <w:bookmarkEnd w:id="14"/>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 </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Приложение N 2</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к приказу Министерства труда</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и социальной защиты</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Российской Федерации</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от 7 октября 2013 г. N 530н</w:t>
      </w:r>
    </w:p>
    <w:p w:rsidR="00FF49A1" w:rsidRPr="00FF49A1" w:rsidRDefault="00FF49A1" w:rsidP="00FF49A1">
      <w:pPr>
        <w:shd w:val="clear" w:color="auto" w:fill="FFFFFF"/>
        <w:spacing w:after="0" w:line="240" w:lineRule="auto"/>
        <w:jc w:val="right"/>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bookmarkStart w:id="15" w:name="Par291"/>
      <w:bookmarkEnd w:id="15"/>
      <w:r w:rsidRPr="00FF49A1">
        <w:rPr>
          <w:rFonts w:ascii="Arial" w:eastAsia="Times New Roman" w:hAnsi="Arial" w:cs="Arial"/>
          <w:b/>
          <w:bCs/>
          <w:color w:val="000000"/>
          <w:sz w:val="21"/>
          <w:szCs w:val="21"/>
          <w:lang w:eastAsia="ru-RU"/>
        </w:rPr>
        <w:t>ТРЕБОВАНИЯ</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К ДОЛЖНОСТЯМ, ЗАМЕЩЕНИЕ КОТОРЫХ ВЛЕЧЕТ ЗА СОБОЙ РАЗМЕЩЕНИЕ СВЕДЕНИЙ О ДОХОДАХ, РАСХОДАХ, ОБ ИМУЩЕСТВЕ</w:t>
      </w:r>
    </w:p>
    <w:p w:rsidR="00FF49A1" w:rsidRPr="00FF49A1" w:rsidRDefault="00FF49A1" w:rsidP="00FF49A1">
      <w:pPr>
        <w:shd w:val="clear" w:color="auto" w:fill="FFFFFF"/>
        <w:spacing w:after="0" w:line="240" w:lineRule="auto"/>
        <w:jc w:val="center"/>
        <w:rPr>
          <w:rFonts w:ascii="Arial" w:eastAsia="Times New Roman" w:hAnsi="Arial" w:cs="Arial"/>
          <w:color w:val="000000"/>
          <w:sz w:val="21"/>
          <w:szCs w:val="21"/>
          <w:lang w:eastAsia="ru-RU"/>
        </w:rPr>
      </w:pPr>
      <w:r w:rsidRPr="00FF49A1">
        <w:rPr>
          <w:rFonts w:ascii="Arial" w:eastAsia="Times New Roman" w:hAnsi="Arial" w:cs="Arial"/>
          <w:b/>
          <w:bCs/>
          <w:color w:val="000000"/>
          <w:sz w:val="21"/>
          <w:szCs w:val="21"/>
          <w:lang w:eastAsia="ru-RU"/>
        </w:rPr>
        <w:t>И ОБЯЗАТЕЛЬСТВАХ ИМУЩЕСТВЕННОГО ХАРАКТЕРА</w:t>
      </w:r>
    </w:p>
    <w:p w:rsidR="00FF49A1" w:rsidRPr="00FF49A1" w:rsidRDefault="00FF49A1" w:rsidP="00FF49A1">
      <w:pPr>
        <w:shd w:val="clear" w:color="auto" w:fill="FFFFFF"/>
        <w:spacing w:after="0" w:line="240" w:lineRule="auto"/>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 государственные должности Российской Федерации;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2) должности председателя Банка России, заместителя председателя Банка России, члена совета директоров Банка России;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4) должности федеральной государственной гражданской службы указанные в </w:t>
      </w:r>
      <w:hyperlink r:id="rId16" w:history="1">
        <w:r w:rsidRPr="00FF49A1">
          <w:rPr>
            <w:rFonts w:ascii="Arial" w:eastAsia="Times New Roman" w:hAnsi="Arial" w:cs="Arial"/>
            <w:color w:val="0000FF"/>
            <w:sz w:val="21"/>
            <w:szCs w:val="21"/>
            <w:u w:val="single"/>
            <w:lang w:eastAsia="ru-RU"/>
          </w:rPr>
          <w:t>разделе I</w:t>
        </w:r>
      </w:hyperlink>
      <w:r w:rsidRPr="00FF49A1">
        <w:rPr>
          <w:rFonts w:ascii="Arial" w:eastAsia="Times New Roman" w:hAnsi="Arial" w:cs="Arial"/>
          <w:color w:val="000000"/>
          <w:sz w:val="21"/>
          <w:szCs w:val="21"/>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w:t>
      </w:r>
      <w:bookmarkStart w:id="16" w:name="_ftnref7"/>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"_ftn7"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[7]</w:t>
      </w:r>
      <w:r w:rsidRPr="00FF49A1">
        <w:rPr>
          <w:rFonts w:ascii="Arial" w:eastAsia="Times New Roman" w:hAnsi="Arial" w:cs="Arial"/>
          <w:color w:val="000000"/>
          <w:sz w:val="21"/>
          <w:szCs w:val="21"/>
          <w:lang w:eastAsia="ru-RU"/>
        </w:rPr>
        <w:fldChar w:fldCharType="end"/>
      </w:r>
      <w:bookmarkEnd w:id="16"/>
      <w:r w:rsidRPr="00FF49A1">
        <w:rPr>
          <w:rFonts w:ascii="Arial" w:eastAsia="Times New Roman" w:hAnsi="Arial" w:cs="Arial"/>
          <w:color w:val="000000"/>
          <w:sz w:val="21"/>
          <w:szCs w:val="21"/>
          <w:lang w:eastAsia="ru-RU"/>
        </w:rPr>
        <w:t>  (далее - Перечень, утвержденный Указом Президента Российской Федерации № 557);</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5) должности военной службы и федеральной государственной службы иных видов, указанные в </w:t>
      </w:r>
      <w:hyperlink r:id="rId17" w:history="1">
        <w:r w:rsidRPr="00FF49A1">
          <w:rPr>
            <w:rFonts w:ascii="Arial" w:eastAsia="Times New Roman" w:hAnsi="Arial" w:cs="Arial"/>
            <w:color w:val="0000FF"/>
            <w:sz w:val="21"/>
            <w:szCs w:val="21"/>
            <w:u w:val="single"/>
            <w:lang w:eastAsia="ru-RU"/>
          </w:rPr>
          <w:t>разделе II</w:t>
        </w:r>
      </w:hyperlink>
      <w:r w:rsidRPr="00FF49A1">
        <w:rPr>
          <w:rFonts w:ascii="Arial" w:eastAsia="Times New Roman" w:hAnsi="Arial" w:cs="Arial"/>
          <w:color w:val="000000"/>
          <w:sz w:val="21"/>
          <w:szCs w:val="21"/>
          <w:lang w:eastAsia="ru-RU"/>
        </w:rPr>
        <w:t> Перечня, утвержденного Указом Президента Российской Федерации № 557;</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w:t>
      </w:r>
      <w:r w:rsidRPr="00FF49A1">
        <w:rPr>
          <w:rFonts w:ascii="Arial" w:eastAsia="Times New Roman" w:hAnsi="Arial" w:cs="Arial"/>
          <w:color w:val="000000"/>
          <w:sz w:val="21"/>
          <w:szCs w:val="21"/>
          <w:lang w:eastAsia="ru-RU"/>
        </w:rPr>
        <w:lastRenderedPageBreak/>
        <w:t>перечни должностей, замещение которых связано с коррупционными рисками, утвержденные государственными органами в соответствии с </w:t>
      </w:r>
      <w:hyperlink r:id="rId18" w:history="1">
        <w:r w:rsidRPr="00FF49A1">
          <w:rPr>
            <w:rFonts w:ascii="Arial" w:eastAsia="Times New Roman" w:hAnsi="Arial" w:cs="Arial"/>
            <w:color w:val="0000FF"/>
            <w:sz w:val="21"/>
            <w:szCs w:val="21"/>
            <w:u w:val="single"/>
            <w:lang w:eastAsia="ru-RU"/>
          </w:rPr>
          <w:t>разделом III</w:t>
        </w:r>
      </w:hyperlink>
      <w:r w:rsidRPr="00FF49A1">
        <w:rPr>
          <w:rFonts w:ascii="Arial" w:eastAsia="Times New Roman" w:hAnsi="Arial" w:cs="Arial"/>
          <w:color w:val="000000"/>
          <w:sz w:val="21"/>
          <w:szCs w:val="21"/>
          <w:lang w:eastAsia="ru-RU"/>
        </w:rPr>
        <w:t> Перечня, утвержденного Указом Президента Российской Федерации № 557;</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7) следующие должности в Банке России: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центральный аппарат:</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главный аудитор;</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директор департамента;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начальник департамента;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начальник главного управления;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территориальные учреждения: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начальник главного управления;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начальник московского главного территориального управления;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председатель Национального банка;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8) следующие должности в фондах, корпорациях и организациях:</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руководитель (единоличный исполнительный орган);</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заместитель руководителя;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член правления (коллегиального исполнительного органа), исполнение обязанностей по которой осуществляется на постоянной основе;</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руководитель самостоятельного структурного подразделения (департамента, управления, отдела);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заместитель руководителя самостоятельного структурного подразделения (департамента, управления, отдела);</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руководитель территориального органа фонда, филиала корпорации,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руководитель (единоличный исполнительный орган);</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заместитель руководителя;</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главный бухгалтер;</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распределение бюджетных ассигнований, субсидий, межбюджетных трансфертов, а также распределение ограниченных ресурсов;</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осуществление государственных закупок либо выдача лицензий и разрешений;</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br w:type="textWrapping" w:clear="all"/>
      </w:r>
    </w:p>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pict>
          <v:rect id="_x0000_i1025" style="width:154.35pt;height:0" o:hrpct="330" o:hrstd="t" o:hr="t" fillcolor="#a0a0a0" stroked="f"/>
        </w:pict>
      </w:r>
    </w:p>
    <w:bookmarkStart w:id="17" w:name="_ftn1"/>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"_ftnref1"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[1]</w:t>
      </w:r>
      <w:r w:rsidRPr="00FF49A1">
        <w:rPr>
          <w:rFonts w:ascii="Arial" w:eastAsia="Times New Roman" w:hAnsi="Arial" w:cs="Arial"/>
          <w:color w:val="000000"/>
          <w:sz w:val="21"/>
          <w:szCs w:val="21"/>
          <w:lang w:eastAsia="ru-RU"/>
        </w:rPr>
        <w:fldChar w:fldCharType="end"/>
      </w:r>
      <w:bookmarkEnd w:id="17"/>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В соответствии с </w:t>
      </w:r>
      <w:hyperlink r:id="rId19" w:history="1">
        <w:r w:rsidRPr="00FF49A1">
          <w:rPr>
            <w:rFonts w:ascii="Arial" w:eastAsia="Times New Roman" w:hAnsi="Arial" w:cs="Arial"/>
            <w:color w:val="0000FF"/>
            <w:sz w:val="16"/>
            <w:szCs w:val="16"/>
            <w:u w:val="single"/>
            <w:lang w:eastAsia="ru-RU"/>
          </w:rPr>
          <w:t>пунктом 2</w:t>
        </w:r>
      </w:hyperlink>
      <w:r w:rsidRPr="00FF49A1">
        <w:rPr>
          <w:rFonts w:ascii="Arial" w:eastAsia="Times New Roman" w:hAnsi="Arial" w:cs="Arial"/>
          <w:color w:val="000000"/>
          <w:sz w:val="16"/>
          <w:szCs w:val="16"/>
          <w:lang w:eastAsia="ru-RU"/>
        </w:rPr>
        <w:t>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20" w:history="1">
        <w:r w:rsidRPr="00FF49A1">
          <w:rPr>
            <w:rFonts w:ascii="Arial" w:eastAsia="Times New Roman" w:hAnsi="Arial" w:cs="Arial"/>
            <w:color w:val="0000FF"/>
            <w:sz w:val="16"/>
            <w:szCs w:val="16"/>
            <w:u w:val="single"/>
            <w:lang w:eastAsia="ru-RU"/>
          </w:rPr>
          <w:t>пункте 16</w:t>
        </w:r>
      </w:hyperlink>
      <w:r w:rsidRPr="00FF49A1">
        <w:rPr>
          <w:rFonts w:ascii="Arial" w:eastAsia="Times New Roman" w:hAnsi="Arial" w:cs="Arial"/>
          <w:color w:val="000000"/>
          <w:sz w:val="16"/>
          <w:szCs w:val="16"/>
          <w:lang w:eastAsia="ru-RU"/>
        </w:rPr>
        <w:t> Положения, утвержденного данным Указом, рассматриваются в федеральных государственных органах, названных в </w:t>
      </w:r>
      <w:hyperlink r:id="rId21" w:history="1">
        <w:r w:rsidRPr="00FF49A1">
          <w:rPr>
            <w:rFonts w:ascii="Arial" w:eastAsia="Times New Roman" w:hAnsi="Arial" w:cs="Arial"/>
            <w:color w:val="0000FF"/>
            <w:sz w:val="16"/>
            <w:szCs w:val="16"/>
            <w:u w:val="single"/>
            <w:lang w:eastAsia="ru-RU"/>
          </w:rPr>
          <w:t>разделе II</w:t>
        </w:r>
      </w:hyperlink>
      <w:r w:rsidRPr="00FF49A1">
        <w:rPr>
          <w:rFonts w:ascii="Arial" w:eastAsia="Times New Roman" w:hAnsi="Arial" w:cs="Arial"/>
          <w:color w:val="000000"/>
          <w:sz w:val="16"/>
          <w:szCs w:val="16"/>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16"/>
          <w:szCs w:val="16"/>
          <w:lang w:eastAsia="ru-RU"/>
        </w:rPr>
        <w:t>б) в отношении лиц, замещающих должности федеральной государственной службы иных видов, - соответствующими аттестационными комиссиями.</w:t>
      </w:r>
    </w:p>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bookmarkStart w:id="18" w:name="_ftn2"/>
    <w:p w:rsidR="00FF49A1" w:rsidRPr="00FF49A1" w:rsidRDefault="00FF49A1" w:rsidP="00FF49A1">
      <w:pPr>
        <w:shd w:val="clear" w:color="auto" w:fill="FFFFFF"/>
        <w:spacing w:after="0" w:line="240" w:lineRule="auto"/>
        <w:ind w:firstLine="567"/>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"_ftnref2"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0"/>
          <w:szCs w:val="20"/>
          <w:u w:val="single"/>
          <w:lang w:eastAsia="ru-RU"/>
        </w:rPr>
        <w:t>[2]</w:t>
      </w:r>
      <w:r w:rsidRPr="00FF49A1">
        <w:rPr>
          <w:rFonts w:ascii="Arial" w:eastAsia="Times New Roman" w:hAnsi="Arial" w:cs="Arial"/>
          <w:color w:val="000000"/>
          <w:sz w:val="21"/>
          <w:szCs w:val="21"/>
          <w:lang w:eastAsia="ru-RU"/>
        </w:rPr>
        <w:fldChar w:fldCharType="end"/>
      </w:r>
      <w:bookmarkEnd w:id="18"/>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Собрание законодательства Российской Федерации, 2009, N 21, ст. 2542; 2012, N 4, ст. 471; N 14, ст. 1616.</w:t>
      </w:r>
    </w:p>
    <w:bookmarkStart w:id="19" w:name="_ftn3"/>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"_ftnref3"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[3]</w:t>
      </w:r>
      <w:r w:rsidRPr="00FF49A1">
        <w:rPr>
          <w:rFonts w:ascii="Arial" w:eastAsia="Times New Roman" w:hAnsi="Arial" w:cs="Arial"/>
          <w:color w:val="000000"/>
          <w:sz w:val="21"/>
          <w:szCs w:val="21"/>
          <w:lang w:eastAsia="ru-RU"/>
        </w:rPr>
        <w:fldChar w:fldCharType="end"/>
      </w:r>
      <w:bookmarkEnd w:id="19"/>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Собрание законодательства Российской Федерации, 2013, N 28, ст. 3813.</w:t>
      </w:r>
    </w:p>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t> </w:t>
      </w:r>
    </w:p>
    <w:bookmarkStart w:id="20" w:name="_ftn4"/>
    <w:p w:rsidR="00FF49A1" w:rsidRPr="00FF49A1" w:rsidRDefault="00FF49A1" w:rsidP="00FF49A1">
      <w:pPr>
        <w:shd w:val="clear" w:color="auto" w:fill="FFFFFF"/>
        <w:spacing w:after="0" w:line="240" w:lineRule="auto"/>
        <w:ind w:firstLine="567"/>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"_ftnref4"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0"/>
          <w:szCs w:val="20"/>
          <w:u w:val="single"/>
          <w:lang w:eastAsia="ru-RU"/>
        </w:rPr>
        <w:t>[4]</w:t>
      </w:r>
      <w:r w:rsidRPr="00FF49A1">
        <w:rPr>
          <w:rFonts w:ascii="Arial" w:eastAsia="Times New Roman" w:hAnsi="Arial" w:cs="Arial"/>
          <w:color w:val="000000"/>
          <w:sz w:val="21"/>
          <w:szCs w:val="21"/>
          <w:lang w:eastAsia="ru-RU"/>
        </w:rPr>
        <w:fldChar w:fldCharType="end"/>
      </w:r>
      <w:bookmarkEnd w:id="20"/>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Собрание законодательства Российской Федерации, 2006, N 31, ст. 3451; 2009, N 48, ст. 5716; 2009, N 48, ст. 5716; 2011, N 23, ст. 3263; N 31, ст. 4701; 2013, N 14, ст. 1651.</w:t>
      </w:r>
    </w:p>
    <w:bookmarkStart w:id="21" w:name="_ftn5"/>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lastRenderedPageBreak/>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"_ftnref5"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0"/>
          <w:szCs w:val="20"/>
          <w:u w:val="single"/>
          <w:lang w:eastAsia="ru-RU"/>
        </w:rPr>
        <w:t>[5]</w:t>
      </w:r>
      <w:r w:rsidRPr="00FF49A1">
        <w:rPr>
          <w:rFonts w:ascii="Arial" w:eastAsia="Times New Roman" w:hAnsi="Arial" w:cs="Arial"/>
          <w:color w:val="000000"/>
          <w:sz w:val="21"/>
          <w:szCs w:val="21"/>
          <w:lang w:eastAsia="ru-RU"/>
        </w:rPr>
        <w:fldChar w:fldCharType="end"/>
      </w:r>
      <w:bookmarkEnd w:id="21"/>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bookmarkStart w:id="22" w:name="_ftn6"/>
    <w:p w:rsidR="00FF49A1" w:rsidRPr="00FF49A1" w:rsidRDefault="00FF49A1" w:rsidP="00FF49A1">
      <w:pPr>
        <w:shd w:val="clear" w:color="auto" w:fill="FFFFFF"/>
        <w:spacing w:after="0" w:line="240" w:lineRule="auto"/>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"_ftnref6"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0"/>
          <w:szCs w:val="20"/>
          <w:u w:val="single"/>
          <w:lang w:eastAsia="ru-RU"/>
        </w:rPr>
        <w:t>[6]</w:t>
      </w:r>
      <w:r w:rsidRPr="00FF49A1">
        <w:rPr>
          <w:rFonts w:ascii="Arial" w:eastAsia="Times New Roman" w:hAnsi="Arial" w:cs="Arial"/>
          <w:color w:val="000000"/>
          <w:sz w:val="21"/>
          <w:szCs w:val="21"/>
          <w:lang w:eastAsia="ru-RU"/>
        </w:rPr>
        <w:fldChar w:fldCharType="end"/>
      </w:r>
      <w:bookmarkEnd w:id="22"/>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bookmarkStart w:id="23" w:name="_ftn7"/>
    <w:p w:rsidR="00FF49A1" w:rsidRPr="00FF49A1" w:rsidRDefault="00FF49A1" w:rsidP="00FF49A1">
      <w:pPr>
        <w:shd w:val="clear" w:color="auto" w:fill="FFFFFF"/>
        <w:spacing w:after="0" w:line="240" w:lineRule="auto"/>
        <w:ind w:firstLine="540"/>
        <w:jc w:val="both"/>
        <w:rPr>
          <w:rFonts w:ascii="Arial" w:eastAsia="Times New Roman" w:hAnsi="Arial" w:cs="Arial"/>
          <w:color w:val="000000"/>
          <w:sz w:val="21"/>
          <w:szCs w:val="21"/>
          <w:lang w:eastAsia="ru-RU"/>
        </w:rPr>
      </w:pPr>
      <w:r w:rsidRPr="00FF49A1">
        <w:rPr>
          <w:rFonts w:ascii="Arial" w:eastAsia="Times New Roman" w:hAnsi="Arial" w:cs="Arial"/>
          <w:color w:val="000000"/>
          <w:sz w:val="21"/>
          <w:szCs w:val="21"/>
          <w:lang w:eastAsia="ru-RU"/>
        </w:rPr>
        <w:fldChar w:fldCharType="begin"/>
      </w:r>
      <w:r w:rsidRPr="00FF49A1">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\l "_ftnref7" \o "" </w:instrText>
      </w:r>
      <w:r w:rsidRPr="00FF49A1">
        <w:rPr>
          <w:rFonts w:ascii="Arial" w:eastAsia="Times New Roman" w:hAnsi="Arial" w:cs="Arial"/>
          <w:color w:val="000000"/>
          <w:sz w:val="21"/>
          <w:szCs w:val="21"/>
          <w:lang w:eastAsia="ru-RU"/>
        </w:rPr>
        <w:fldChar w:fldCharType="separate"/>
      </w:r>
      <w:r w:rsidRPr="00FF49A1">
        <w:rPr>
          <w:rFonts w:ascii="Arial" w:eastAsia="Times New Roman" w:hAnsi="Arial" w:cs="Arial"/>
          <w:color w:val="0066CC"/>
          <w:sz w:val="24"/>
          <w:szCs w:val="24"/>
          <w:u w:val="single"/>
          <w:lang w:eastAsia="ru-RU"/>
        </w:rPr>
        <w:t>[7]</w:t>
      </w:r>
      <w:r w:rsidRPr="00FF49A1">
        <w:rPr>
          <w:rFonts w:ascii="Arial" w:eastAsia="Times New Roman" w:hAnsi="Arial" w:cs="Arial"/>
          <w:color w:val="000000"/>
          <w:sz w:val="21"/>
          <w:szCs w:val="21"/>
          <w:lang w:eastAsia="ru-RU"/>
        </w:rPr>
        <w:fldChar w:fldCharType="end"/>
      </w:r>
      <w:bookmarkEnd w:id="23"/>
      <w:r w:rsidRPr="00FF49A1">
        <w:rPr>
          <w:rFonts w:ascii="Arial" w:eastAsia="Times New Roman" w:hAnsi="Arial" w:cs="Arial"/>
          <w:color w:val="000000"/>
          <w:sz w:val="21"/>
          <w:szCs w:val="21"/>
          <w:lang w:eastAsia="ru-RU"/>
        </w:rPr>
        <w:t> </w:t>
      </w:r>
      <w:r w:rsidRPr="00FF49A1">
        <w:rPr>
          <w:rFonts w:ascii="Arial" w:eastAsia="Times New Roman" w:hAnsi="Arial" w:cs="Arial"/>
          <w:color w:val="000000"/>
          <w:sz w:val="16"/>
          <w:szCs w:val="16"/>
          <w:lang w:eastAsia="ru-RU"/>
        </w:rPr>
        <w:t>Собрание законодательства Российской Федерации, 2009, N 21, ст. 2542; 2012, N 4, ст. 471; N 14, ст. 1616.</w:t>
      </w:r>
    </w:p>
    <w:p w:rsidR="00FA6312" w:rsidRDefault="00FA6312">
      <w:bookmarkStart w:id="24" w:name="_GoBack"/>
      <w:bookmarkEnd w:id="24"/>
    </w:p>
    <w:sectPr w:rsidR="00FA6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EA"/>
    <w:rsid w:val="004A55EA"/>
    <w:rsid w:val="00FA6312"/>
    <w:rsid w:val="00FF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6FAE6-CC5F-40D3-B449-A85FA6F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9A1"/>
    <w:rPr>
      <w:color w:val="0000FF"/>
      <w:u w:val="single"/>
    </w:rPr>
  </w:style>
  <w:style w:type="character" w:styleId="a4">
    <w:name w:val="footnote reference"/>
    <w:basedOn w:val="a0"/>
    <w:uiPriority w:val="99"/>
    <w:semiHidden/>
    <w:unhideWhenUsed/>
    <w:rsid w:val="00FF49A1"/>
  </w:style>
  <w:style w:type="paragraph" w:styleId="a5">
    <w:name w:val="footnote text"/>
    <w:basedOn w:val="a"/>
    <w:link w:val="a6"/>
    <w:uiPriority w:val="99"/>
    <w:semiHidden/>
    <w:unhideWhenUsed/>
    <w:rsid w:val="00FF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semiHidden/>
    <w:rsid w:val="00FF49A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516178">
      <w:bodyDiv w:val="1"/>
      <w:marLeft w:val="0"/>
      <w:marRight w:val="0"/>
      <w:marTop w:val="0"/>
      <w:marBottom w:val="0"/>
      <w:divBdr>
        <w:top w:val="none" w:sz="0" w:space="0" w:color="auto"/>
        <w:left w:val="none" w:sz="0" w:space="0" w:color="auto"/>
        <w:bottom w:val="none" w:sz="0" w:space="0" w:color="auto"/>
        <w:right w:val="none" w:sz="0" w:space="0" w:color="auto"/>
      </w:divBdr>
      <w:divsChild>
        <w:div w:id="350838870">
          <w:marLeft w:val="0"/>
          <w:marRight w:val="0"/>
          <w:marTop w:val="0"/>
          <w:marBottom w:val="0"/>
          <w:divBdr>
            <w:top w:val="none" w:sz="0" w:space="0" w:color="auto"/>
            <w:left w:val="none" w:sz="0" w:space="0" w:color="auto"/>
            <w:bottom w:val="none" w:sz="0" w:space="0" w:color="auto"/>
            <w:right w:val="none" w:sz="0" w:space="0" w:color="auto"/>
          </w:divBdr>
          <w:divsChild>
            <w:div w:id="164251052">
              <w:marLeft w:val="0"/>
              <w:marRight w:val="0"/>
              <w:marTop w:val="0"/>
              <w:marBottom w:val="0"/>
              <w:divBdr>
                <w:top w:val="none" w:sz="0" w:space="0" w:color="auto"/>
                <w:left w:val="none" w:sz="0" w:space="0" w:color="auto"/>
                <w:bottom w:val="none" w:sz="0" w:space="0" w:color="auto"/>
                <w:right w:val="none" w:sz="0" w:space="0" w:color="auto"/>
              </w:divBdr>
            </w:div>
            <w:div w:id="46877205">
              <w:marLeft w:val="0"/>
              <w:marRight w:val="0"/>
              <w:marTop w:val="0"/>
              <w:marBottom w:val="0"/>
              <w:divBdr>
                <w:top w:val="none" w:sz="0" w:space="0" w:color="auto"/>
                <w:left w:val="none" w:sz="0" w:space="0" w:color="auto"/>
                <w:bottom w:val="none" w:sz="0" w:space="0" w:color="auto"/>
                <w:right w:val="none" w:sz="0" w:space="0" w:color="auto"/>
              </w:divBdr>
            </w:div>
            <w:div w:id="728236264">
              <w:marLeft w:val="0"/>
              <w:marRight w:val="0"/>
              <w:marTop w:val="0"/>
              <w:marBottom w:val="0"/>
              <w:divBdr>
                <w:top w:val="none" w:sz="0" w:space="0" w:color="auto"/>
                <w:left w:val="none" w:sz="0" w:space="0" w:color="auto"/>
                <w:bottom w:val="none" w:sz="0" w:space="0" w:color="auto"/>
                <w:right w:val="none" w:sz="0" w:space="0" w:color="auto"/>
              </w:divBdr>
            </w:div>
            <w:div w:id="1597012056">
              <w:marLeft w:val="0"/>
              <w:marRight w:val="0"/>
              <w:marTop w:val="0"/>
              <w:marBottom w:val="0"/>
              <w:divBdr>
                <w:top w:val="none" w:sz="0" w:space="0" w:color="auto"/>
                <w:left w:val="none" w:sz="0" w:space="0" w:color="auto"/>
                <w:bottom w:val="none" w:sz="0" w:space="0" w:color="auto"/>
                <w:right w:val="none" w:sz="0" w:space="0" w:color="auto"/>
              </w:divBdr>
            </w:div>
            <w:div w:id="84308377">
              <w:marLeft w:val="0"/>
              <w:marRight w:val="0"/>
              <w:marTop w:val="0"/>
              <w:marBottom w:val="0"/>
              <w:divBdr>
                <w:top w:val="none" w:sz="0" w:space="0" w:color="auto"/>
                <w:left w:val="none" w:sz="0" w:space="0" w:color="auto"/>
                <w:bottom w:val="none" w:sz="0" w:space="0" w:color="auto"/>
                <w:right w:val="none" w:sz="0" w:space="0" w:color="auto"/>
              </w:divBdr>
            </w:div>
            <w:div w:id="547911282">
              <w:marLeft w:val="0"/>
              <w:marRight w:val="0"/>
              <w:marTop w:val="0"/>
              <w:marBottom w:val="0"/>
              <w:divBdr>
                <w:top w:val="none" w:sz="0" w:space="0" w:color="auto"/>
                <w:left w:val="none" w:sz="0" w:space="0" w:color="auto"/>
                <w:bottom w:val="none" w:sz="0" w:space="0" w:color="auto"/>
                <w:right w:val="none" w:sz="0" w:space="0" w:color="auto"/>
              </w:divBdr>
            </w:div>
            <w:div w:id="778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1E7C5F218F92D3958879E37D81B0D95B3CBAC719CA1CE260144821608DA221D68DF0051CAFBEuBP0M" TargetMode="External"/><Relationship Id="rId13" Type="http://schemas.openxmlformats.org/officeDocument/2006/relationships/hyperlink" Target="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TargetMode="External"/><Relationship Id="rId18" Type="http://schemas.openxmlformats.org/officeDocument/2006/relationships/hyperlink" Target="consultantplus://offline/ref=B51E7C5F218F92D3958879E37D81B0D95F3EBBCB1CC141E8684D44236782FD36D1C4FC041CAFBEB7uFP5M" TargetMode="External"/><Relationship Id="rId3" Type="http://schemas.openxmlformats.org/officeDocument/2006/relationships/webSettings" Target="webSettings.xml"/><Relationship Id="rId21" Type="http://schemas.openxmlformats.org/officeDocument/2006/relationships/hyperlink" Target="consultantplus://offline/ref=B51E7C5F218F92D3958879E37D81B0D95F3EBBCB1CC141E8684D44236782FD36D1C4FC041CAFBFB3uFPCM" TargetMode="External"/><Relationship Id="rId7" Type="http://schemas.openxmlformats.org/officeDocument/2006/relationships/hyperlink" Target="consultantplus://offline/ref=B51E7C5F218F92D3958879E37D81B0D9573AB4C61CCA1CE260144821608DA221D68DF0051CAFBFuBP2M" TargetMode="External"/><Relationship Id="rId12" Type="http://schemas.openxmlformats.org/officeDocument/2006/relationships/hyperlink" Target="consultantplus://offline/ref=B51E7C5F218F92D3958879E37D81B0D95F3FB9C81DC341E8684D44236782FD36D1C4FC041CAFBFB4uFPCM" TargetMode="External"/><Relationship Id="rId17" Type="http://schemas.openxmlformats.org/officeDocument/2006/relationships/hyperlink" Target="consultantplus://offline/ref=B51E7C5F218F92D3958879E37D81B0D95F3EBBCB1CC141E8684D44236782FD36D1C4FC041CAFBFB3uFPCM" TargetMode="External"/><Relationship Id="rId2" Type="http://schemas.openxmlformats.org/officeDocument/2006/relationships/settings" Target="settings.xml"/><Relationship Id="rId16" Type="http://schemas.openxmlformats.org/officeDocument/2006/relationships/hyperlink" Target="consultantplus://offline/ref=B51E7C5F218F92D3958879E37D81B0D95F3EBBCB1CC141E8684D44236782FD36D1C4FC041CAFBFB0uFPAM" TargetMode="External"/><Relationship Id="rId20" Type="http://schemas.openxmlformats.org/officeDocument/2006/relationships/hyperlink" Target="consultantplus://offline/ref=B51E7C5F218F92D3958879E37D81B0D95F3EBBCA15C941E8684D44236782FD36D1C4FC041CAFBFB9uFPDM" TargetMode="External"/><Relationship Id="rId1" Type="http://schemas.openxmlformats.org/officeDocument/2006/relationships/styles" Target="styles.xml"/><Relationship Id="rId6" Type="http://schemas.openxmlformats.org/officeDocument/2006/relationships/hyperlink" Target="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TargetMode="External"/><Relationship Id="rId11" Type="http://schemas.openxmlformats.org/officeDocument/2006/relationships/hyperlink" Target="consultantplus://offline/ref=B51E7C5F218F92D3958879E37D81B0D95F3EBFCB19C241E8684D442367u8P2M" TargetMode="External"/><Relationship Id="rId5" Type="http://schemas.openxmlformats.org/officeDocument/2006/relationships/hyperlink" Target="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TargetMode="External"/><Relationship Id="rId15" Type="http://schemas.openxmlformats.org/officeDocument/2006/relationships/hyperlink" Target="consultantplus://offline/ref=B51E7C5F218F92D3958879E37D81B0D95F3FBBCE19C041E8684D44236782FD36D1C4FC041CAFBDB7uFP4M" TargetMode="External"/><Relationship Id="rId23" Type="http://schemas.openxmlformats.org/officeDocument/2006/relationships/theme" Target="theme/theme1.xml"/><Relationship Id="rId10" Type="http://schemas.openxmlformats.org/officeDocument/2006/relationships/hyperlink" Target="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TargetMode="External"/><Relationship Id="rId19" Type="http://schemas.openxmlformats.org/officeDocument/2006/relationships/hyperlink" Target="consultantplus://offline/ref=B51E7C5F218F92D3958879E37D81B0D95F3EBBCA15C941E8684D44236782FD36D1C4FC041CAFBFB1uFP5M" TargetMode="External"/><Relationship Id="rId4" Type="http://schemas.openxmlformats.org/officeDocument/2006/relationships/hyperlink" Target="consultantplus://offline/ref=B51E7C5F218F92D3958879E37D81B0D95F3FB9C81DC341E8684D44236782FD36D1C4FC041CAFBFB2uFPAM" TargetMode="External"/><Relationship Id="rId9" Type="http://schemas.openxmlformats.org/officeDocument/2006/relationships/hyperlink" Target="consultantplus://offline/ref=B51E7C5F218F92D3958879E37D81B0D95F3EBBCB1CC141E8684D44236782FD36D1C4FC041CAFBEB7uFP5M" TargetMode="External"/><Relationship Id="rId14" Type="http://schemas.openxmlformats.org/officeDocument/2006/relationships/hyperlink" Target="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1%80%D0%B8%D0%BA%D0%B0%D0%B7%20%D0%9C%D0%B8%D0%BD%D1%82%D1%80%D1%83%D0%B4%D0%B0%20%D0%BE%D1%82%2007.10.2013%20%E2%84%96%20530%D0%BD.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7532</Words>
  <Characters>42935</Characters>
  <Application>Microsoft Office Word</Application>
  <DocSecurity>0</DocSecurity>
  <Lines>357</Lines>
  <Paragraphs>100</Paragraphs>
  <ScaleCrop>false</ScaleCrop>
  <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2025-12-07T04:51:00Z</dcterms:created>
  <dcterms:modified xsi:type="dcterms:W3CDTF">2025-12-07T04:51:00Z</dcterms:modified>
</cp:coreProperties>
</file>