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6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Федерации", от 2 марта 2007 г. </w:t>
      </w:r>
      <w:hyperlink r:id="rId7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Государственные (муниципальные) служащие обязаны соблюдать </w:t>
      </w:r>
      <w:hyperlink r:id="rId9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bookmarkStart w:id="0" w:name="_GoBack"/>
      <w:r>
        <w:rPr>
          <w:rFonts w:ascii="Calibri" w:hAnsi="Calibri" w:cs="Calibri"/>
        </w:rPr>
        <w:lastRenderedPageBreak/>
        <w:t xml:space="preserve">должность государственной или муниципальной службы, за исключением случаев, установленных </w:t>
      </w:r>
      <w:bookmarkEnd w:id="0"/>
      <w:r>
        <w:rPr>
          <w:rFonts w:ascii="Calibri" w:hAnsi="Calibri" w:cs="Calibri"/>
        </w:rPr>
        <w:t>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Рекомендательные этические правила служебного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служебном поведении государственный (муниципальный) служащий воздерживается от: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1B82" w:rsidRDefault="00301B82"/>
    <w:sectPr w:rsidR="00301B82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3"/>
    <w:rsid w:val="000A651C"/>
    <w:rsid w:val="001542B3"/>
    <w:rsid w:val="00291C89"/>
    <w:rsid w:val="00301B82"/>
    <w:rsid w:val="0078248B"/>
    <w:rsid w:val="007A1151"/>
    <w:rsid w:val="00804A20"/>
    <w:rsid w:val="008F6D4C"/>
    <w:rsid w:val="00D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31703-1557-40FB-979A-A484476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dc:description/>
  <cp:lastModifiedBy>Юлия Низовцева</cp:lastModifiedBy>
  <cp:revision>2</cp:revision>
  <dcterms:created xsi:type="dcterms:W3CDTF">2025-12-10T08:45:00Z</dcterms:created>
  <dcterms:modified xsi:type="dcterms:W3CDTF">2025-12-10T08:45:00Z</dcterms:modified>
</cp:coreProperties>
</file>