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3D4" w:rsidRPr="00EF03D4" w:rsidRDefault="00EF03D4">
      <w:pPr>
        <w:pStyle w:val="ConsPlusTitle"/>
        <w:jc w:val="center"/>
        <w:rPr>
          <w:rFonts w:ascii="Tahoma" w:hAnsi="Tahoma" w:cs="Tahoma"/>
          <w:sz w:val="18"/>
          <w:szCs w:val="18"/>
        </w:rPr>
      </w:pPr>
      <w:bookmarkStart w:id="0" w:name="_GoBack"/>
      <w:r w:rsidRPr="00EF03D4">
        <w:rPr>
          <w:rFonts w:ascii="Tahoma" w:hAnsi="Tahoma" w:cs="Tahoma"/>
          <w:sz w:val="18"/>
          <w:szCs w:val="18"/>
        </w:rPr>
        <w:t>МИНИСТЕРСТВО ТРУДА И СОЦИАЛЬНОЙ ЗАЩИТЫ РОССИЙСКОЙ ФЕДЕРАЦИИ</w:t>
      </w:r>
    </w:p>
    <w:p w:rsidR="00EF03D4" w:rsidRPr="00EF03D4" w:rsidRDefault="00EF03D4">
      <w:pPr>
        <w:pStyle w:val="ConsPlusTitle"/>
        <w:jc w:val="center"/>
        <w:rPr>
          <w:rFonts w:ascii="Tahoma" w:hAnsi="Tahoma" w:cs="Tahoma"/>
          <w:sz w:val="18"/>
          <w:szCs w:val="18"/>
        </w:rPr>
      </w:pPr>
    </w:p>
    <w:p w:rsidR="00EF03D4" w:rsidRPr="00EF03D4" w:rsidRDefault="00EF03D4">
      <w:pPr>
        <w:pStyle w:val="ConsPlusTitle"/>
        <w:jc w:val="center"/>
        <w:rPr>
          <w:rFonts w:ascii="Tahoma" w:hAnsi="Tahoma" w:cs="Tahoma"/>
          <w:sz w:val="18"/>
          <w:szCs w:val="18"/>
        </w:rPr>
      </w:pPr>
      <w:r w:rsidRPr="00EF03D4">
        <w:rPr>
          <w:rFonts w:ascii="Tahoma" w:hAnsi="Tahoma" w:cs="Tahoma"/>
          <w:sz w:val="18"/>
          <w:szCs w:val="18"/>
        </w:rPr>
        <w:t>МЕТОДИЧЕСКИЕ РЕКОМЕНДАЦИИ</w:t>
      </w:r>
    </w:p>
    <w:p w:rsidR="00EF03D4" w:rsidRPr="00EF03D4" w:rsidRDefault="00EF03D4">
      <w:pPr>
        <w:pStyle w:val="ConsPlusTitle"/>
        <w:jc w:val="center"/>
        <w:rPr>
          <w:rFonts w:ascii="Tahoma" w:hAnsi="Tahoma" w:cs="Tahoma"/>
          <w:sz w:val="18"/>
          <w:szCs w:val="18"/>
        </w:rPr>
      </w:pPr>
      <w:r w:rsidRPr="00EF03D4">
        <w:rPr>
          <w:rFonts w:ascii="Tahoma" w:hAnsi="Tahoma" w:cs="Tahoma"/>
          <w:sz w:val="18"/>
          <w:szCs w:val="18"/>
        </w:rPr>
        <w:t>ПО ВОПРОСАМ ПРЕДСТАВЛЕНИЯ СВЕДЕНИЙ О ДОХОДАХ, РАСХОДАХ,</w:t>
      </w:r>
    </w:p>
    <w:p w:rsidR="00EF03D4" w:rsidRPr="00EF03D4" w:rsidRDefault="00EF03D4">
      <w:pPr>
        <w:pStyle w:val="ConsPlusTitle"/>
        <w:jc w:val="center"/>
        <w:rPr>
          <w:rFonts w:ascii="Tahoma" w:hAnsi="Tahoma" w:cs="Tahoma"/>
          <w:sz w:val="18"/>
          <w:szCs w:val="18"/>
        </w:rPr>
      </w:pPr>
      <w:r w:rsidRPr="00EF03D4">
        <w:rPr>
          <w:rFonts w:ascii="Tahoma" w:hAnsi="Tahoma" w:cs="Tahoma"/>
          <w:sz w:val="18"/>
          <w:szCs w:val="18"/>
        </w:rPr>
        <w:t>ОБ ИМУЩЕСТВЕ И ОБЯЗАТЕЛЬСТВАХ ИМУЩЕСТВЕННОГО ХАРАКТЕРА</w:t>
      </w:r>
    </w:p>
    <w:p w:rsidR="00EF03D4" w:rsidRPr="00EF03D4" w:rsidRDefault="00EF03D4">
      <w:pPr>
        <w:pStyle w:val="ConsPlusTitle"/>
        <w:jc w:val="center"/>
        <w:rPr>
          <w:rFonts w:ascii="Tahoma" w:hAnsi="Tahoma" w:cs="Tahoma"/>
          <w:sz w:val="18"/>
          <w:szCs w:val="18"/>
        </w:rPr>
      </w:pPr>
      <w:r w:rsidRPr="00EF03D4">
        <w:rPr>
          <w:rFonts w:ascii="Tahoma" w:hAnsi="Tahoma" w:cs="Tahoma"/>
          <w:sz w:val="18"/>
          <w:szCs w:val="18"/>
        </w:rPr>
        <w:t>И ЗАПОЛНЕНИЯ СООТВЕТСТВУЮЩЕЙ ФОРМЫ СПРАВКИ В 2026 ГОДУ</w:t>
      </w:r>
    </w:p>
    <w:p w:rsidR="00EF03D4" w:rsidRPr="00EF03D4" w:rsidRDefault="00EF03D4">
      <w:pPr>
        <w:pStyle w:val="ConsPlusTitle"/>
        <w:jc w:val="center"/>
        <w:rPr>
          <w:rFonts w:ascii="Tahoma" w:hAnsi="Tahoma" w:cs="Tahoma"/>
          <w:sz w:val="18"/>
          <w:szCs w:val="18"/>
        </w:rPr>
      </w:pPr>
      <w:r w:rsidRPr="00EF03D4">
        <w:rPr>
          <w:rFonts w:ascii="Tahoma" w:hAnsi="Tahoma" w:cs="Tahoma"/>
          <w:sz w:val="18"/>
          <w:szCs w:val="18"/>
        </w:rPr>
        <w:t>(ЗА ОТЧЕТНЫЙ 2025 ГОД)</w:t>
      </w:r>
    </w:p>
    <w:p w:rsidR="00EF03D4" w:rsidRPr="00EF03D4" w:rsidRDefault="00EF03D4">
      <w:pPr>
        <w:pStyle w:val="ConsPlusNormal"/>
        <w:jc w:val="both"/>
        <w:rPr>
          <w:rFonts w:ascii="Tahoma" w:hAnsi="Tahoma" w:cs="Tahoma"/>
          <w:sz w:val="18"/>
          <w:szCs w:val="18"/>
        </w:rPr>
      </w:pPr>
    </w:p>
    <w:p w:rsidR="00EF03D4" w:rsidRPr="00EF03D4" w:rsidRDefault="00EF03D4">
      <w:pPr>
        <w:pStyle w:val="ConsPlusTitle"/>
        <w:ind w:firstLine="540"/>
        <w:jc w:val="both"/>
        <w:outlineLvl w:val="0"/>
        <w:rPr>
          <w:rFonts w:ascii="Tahoma" w:hAnsi="Tahoma" w:cs="Tahoma"/>
          <w:sz w:val="18"/>
          <w:szCs w:val="18"/>
        </w:rPr>
      </w:pPr>
      <w:r w:rsidRPr="00EF03D4">
        <w:rPr>
          <w:rFonts w:ascii="Tahoma" w:hAnsi="Tahoma" w:cs="Tahoma"/>
          <w:sz w:val="18"/>
          <w:szCs w:val="18"/>
        </w:rPr>
        <w:t>Введение</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Normal"/>
        <w:ind w:firstLine="540"/>
        <w:jc w:val="both"/>
        <w:rPr>
          <w:rFonts w:ascii="Tahoma" w:hAnsi="Tahoma" w:cs="Tahoma"/>
          <w:sz w:val="18"/>
          <w:szCs w:val="18"/>
        </w:rPr>
      </w:pPr>
      <w:r w:rsidRPr="00EF03D4">
        <w:rPr>
          <w:rFonts w:ascii="Tahoma" w:hAnsi="Tahoma" w:cs="Tahoma"/>
          <w:sz w:val="18"/>
          <w:szCs w:val="18"/>
        </w:rP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соответствии с пунктом 25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w:t>
      </w:r>
      <w:r w:rsidRPr="00EF03D4">
        <w:rPr>
          <w:rFonts w:ascii="Tahoma" w:hAnsi="Tahoma" w:cs="Tahoma"/>
          <w:sz w:val="18"/>
          <w:szCs w:val="18"/>
        </w:rPr>
        <w:lastRenderedPageBreak/>
        <w:t>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Вопросы, связанные с использованием специального программного обеспечения "Справки БК" (далее - СПО "Справки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 на адрес электронной почты: spravki_bk@mintrud.gov.ru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EF03D4" w:rsidRPr="00EF03D4" w:rsidRDefault="00EF03D4">
      <w:pPr>
        <w:pStyle w:val="ConsPlusNormal"/>
        <w:jc w:val="both"/>
        <w:rPr>
          <w:rFonts w:ascii="Tahoma" w:hAnsi="Tahoma" w:cs="Tahoma"/>
          <w:sz w:val="18"/>
          <w:szCs w:val="18"/>
        </w:rPr>
      </w:pPr>
    </w:p>
    <w:p w:rsidR="00EF03D4" w:rsidRPr="00EF03D4" w:rsidRDefault="00EF03D4">
      <w:pPr>
        <w:pStyle w:val="ConsPlusTitle"/>
        <w:jc w:val="center"/>
        <w:outlineLvl w:val="0"/>
        <w:rPr>
          <w:rFonts w:ascii="Tahoma" w:hAnsi="Tahoma" w:cs="Tahoma"/>
          <w:sz w:val="18"/>
          <w:szCs w:val="18"/>
        </w:rPr>
      </w:pPr>
      <w:r w:rsidRPr="00EF03D4">
        <w:rPr>
          <w:rFonts w:ascii="Tahoma" w:hAnsi="Tahoma" w:cs="Tahoma"/>
          <w:sz w:val="18"/>
          <w:szCs w:val="18"/>
        </w:rPr>
        <w:t>I. Представление сведений о доходах, расходах, об имуществе</w:t>
      </w:r>
    </w:p>
    <w:p w:rsidR="00EF03D4" w:rsidRPr="00EF03D4" w:rsidRDefault="00EF03D4">
      <w:pPr>
        <w:pStyle w:val="ConsPlusTitle"/>
        <w:jc w:val="center"/>
        <w:rPr>
          <w:rFonts w:ascii="Tahoma" w:hAnsi="Tahoma" w:cs="Tahoma"/>
          <w:sz w:val="18"/>
          <w:szCs w:val="18"/>
        </w:rPr>
      </w:pPr>
      <w:r w:rsidRPr="00EF03D4">
        <w:rPr>
          <w:rFonts w:ascii="Tahoma" w:hAnsi="Tahoma" w:cs="Tahoma"/>
          <w:sz w:val="18"/>
          <w:szCs w:val="18"/>
        </w:rPr>
        <w:t>и обязательствах имущественного характера</w:t>
      </w:r>
    </w:p>
    <w:p w:rsidR="00EF03D4" w:rsidRPr="00EF03D4" w:rsidRDefault="00EF03D4">
      <w:pPr>
        <w:pStyle w:val="ConsPlusNormal"/>
        <w:jc w:val="both"/>
        <w:rPr>
          <w:rFonts w:ascii="Tahoma" w:hAnsi="Tahoma" w:cs="Tahoma"/>
          <w:sz w:val="18"/>
          <w:szCs w:val="18"/>
        </w:rPr>
      </w:pPr>
    </w:p>
    <w:p w:rsidR="00EF03D4" w:rsidRPr="00EF03D4" w:rsidRDefault="00EF03D4">
      <w:pPr>
        <w:pStyle w:val="ConsPlusNormal"/>
        <w:ind w:firstLine="540"/>
        <w:jc w:val="both"/>
        <w:rPr>
          <w:rFonts w:ascii="Tahoma" w:hAnsi="Tahoma" w:cs="Tahoma"/>
          <w:sz w:val="18"/>
          <w:szCs w:val="18"/>
        </w:rPr>
      </w:pPr>
      <w:r w:rsidRPr="00EF03D4">
        <w:rPr>
          <w:rFonts w:ascii="Tahoma" w:hAnsi="Tahoma" w:cs="Tahoma"/>
          <w:sz w:val="18"/>
          <w:szCs w:val="1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1"/>
        <w:rPr>
          <w:rFonts w:ascii="Tahoma" w:hAnsi="Tahoma" w:cs="Tahoma"/>
          <w:sz w:val="18"/>
          <w:szCs w:val="18"/>
        </w:rPr>
      </w:pPr>
      <w:r w:rsidRPr="00EF03D4">
        <w:rPr>
          <w:rFonts w:ascii="Tahoma" w:hAnsi="Tahoma" w:cs="Tahoma"/>
          <w:sz w:val="18"/>
          <w:szCs w:val="18"/>
        </w:rPr>
        <w:t>Лица, обязанные представлять сведения о доходах, расходах, об имуществе и обязательствах имущественного характера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Сведения о доходах, об имуществе и обязательствах имущественного характера, предусмотренные Федеральным законом от 25 декабря 2008 г. N 273-ФЗ "О противодействии коррупции", и сведения о расходах, предусмотренные Федеральным законом от 3 декабря 2012 г. N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форме справки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 иными лицами в соответствии с законодательством Российской Федерации.</w:t>
      </w:r>
    </w:p>
    <w:p w:rsidR="00EF03D4" w:rsidRPr="00EF03D4" w:rsidRDefault="00EF03D4">
      <w:pPr>
        <w:pStyle w:val="ConsPlusNormal"/>
        <w:spacing w:before="220"/>
        <w:ind w:firstLine="540"/>
        <w:jc w:val="both"/>
        <w:rPr>
          <w:rFonts w:ascii="Tahoma" w:hAnsi="Tahoma" w:cs="Tahoma"/>
          <w:sz w:val="18"/>
          <w:szCs w:val="18"/>
        </w:rPr>
      </w:pPr>
      <w:bookmarkStart w:id="1" w:name="P35"/>
      <w:bookmarkEnd w:id="1"/>
      <w:r w:rsidRPr="00EF03D4">
        <w:rPr>
          <w:rFonts w:ascii="Tahoma" w:hAnsi="Tahoma" w:cs="Tahoma"/>
          <w:sz w:val="18"/>
          <w:szCs w:val="18"/>
        </w:rPr>
        <w:t xml:space="preserve">2. Сведения о доходах, об имуществе и обязательствах имущественного характера представляются </w:t>
      </w:r>
      <w:r w:rsidRPr="00EF03D4">
        <w:rPr>
          <w:rFonts w:ascii="Tahoma" w:hAnsi="Tahoma" w:cs="Tahoma"/>
          <w:sz w:val="18"/>
          <w:szCs w:val="18"/>
        </w:rPr>
        <w:lastRenderedPageBreak/>
        <w:t>гражданином, претендующим на замещение (далее - гражданин):</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государственной должности Российской Федерации, государственной должности субъекта Российской Федерации, муниципальной должности;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любой должности государственной службы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публично-правовых компаний, организаций;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 должности атамана Всероссийского казачьего общества;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9) иных должностей в соответствии с законодательством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Указу Президента Российской Федерации от 22 января 2024 г. N 61 "О федеральном кадровом резерве на государственной гражданской службе Российской Федерации" (далее - Указ Президента Российской Федерации N 61).</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заполнении с использованием СПО "Справки БК" версии 2.5.5 или версии 3.0.4 титульного листа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строке "Куда подается справка" возможно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строке "В связи с чем подается справка" рекомендуется выбрать "иное" и указать, что лицо претендует на включение в федеральный кадровый резерв.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(пункт 4 Положения 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EF03D4" w:rsidRPr="00EF03D4" w:rsidRDefault="00EF03D4">
      <w:pPr>
        <w:pStyle w:val="ConsPlusNormal"/>
        <w:spacing w:before="220"/>
        <w:ind w:firstLine="540"/>
        <w:jc w:val="both"/>
        <w:rPr>
          <w:rFonts w:ascii="Tahoma" w:hAnsi="Tahoma" w:cs="Tahoma"/>
          <w:sz w:val="18"/>
          <w:szCs w:val="18"/>
        </w:rPr>
      </w:pPr>
      <w:bookmarkStart w:id="2" w:name="P50"/>
      <w:bookmarkEnd w:id="2"/>
      <w:r w:rsidRPr="00EF03D4">
        <w:rPr>
          <w:rFonts w:ascii="Tahoma" w:hAnsi="Tahoma" w:cs="Tahoma"/>
          <w:sz w:val="18"/>
          <w:szCs w:val="18"/>
        </w:rPr>
        <w:t xml:space="preserve">4. 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Указ Президента Российской Федерации от 18 мая </w:t>
      </w:r>
      <w:r w:rsidRPr="00EF03D4">
        <w:rPr>
          <w:rFonts w:ascii="Tahoma" w:hAnsi="Tahoma" w:cs="Tahoma"/>
          <w:sz w:val="18"/>
          <w:szCs w:val="18"/>
        </w:rPr>
        <w:lastRenderedPageBreak/>
        <w:t>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справки данной категорией лиц, предусмотренной пунктом 92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bookmarkStart w:id="3" w:name="P51"/>
      <w:bookmarkEnd w:id="3"/>
      <w:r w:rsidRPr="00EF03D4">
        <w:rPr>
          <w:rFonts w:ascii="Tahoma" w:hAnsi="Tahoma" w:cs="Tahoma"/>
          <w:sz w:val="18"/>
          <w:szCs w:val="18"/>
        </w:rPr>
        <w:t>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1"/>
        <w:rPr>
          <w:rFonts w:ascii="Tahoma" w:hAnsi="Tahoma" w:cs="Tahoma"/>
          <w:sz w:val="18"/>
          <w:szCs w:val="18"/>
        </w:rPr>
      </w:pPr>
      <w:r w:rsidRPr="00EF03D4">
        <w:rPr>
          <w:rFonts w:ascii="Tahoma" w:hAnsi="Tahoma" w:cs="Tahoma"/>
          <w:sz w:val="18"/>
          <w:szCs w:val="18"/>
        </w:rPr>
        <w:t>Обязательность представления Сведений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 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2026 года.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 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 перечнем должностей, не представляют Сведения в случае если: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9. 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10. Лица, призванные на военную службу по мобилизации или заключившие в соответствии с пунктом 7 статьи 38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11.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EF03D4" w:rsidRPr="00EF03D4" w:rsidRDefault="00EF03D4">
      <w:pPr>
        <w:pStyle w:val="ConsPlusNormal"/>
        <w:spacing w:before="220"/>
        <w:ind w:firstLine="540"/>
        <w:jc w:val="both"/>
        <w:rPr>
          <w:rFonts w:ascii="Tahoma" w:hAnsi="Tahoma" w:cs="Tahoma"/>
          <w:sz w:val="18"/>
          <w:szCs w:val="18"/>
        </w:rPr>
      </w:pPr>
      <w:bookmarkStart w:id="4" w:name="P67"/>
      <w:bookmarkEnd w:id="4"/>
      <w:r w:rsidRPr="00EF03D4">
        <w:rPr>
          <w:rFonts w:ascii="Tahoma" w:hAnsi="Tahoma" w:cs="Tahoma"/>
          <w:sz w:val="18"/>
          <w:szCs w:val="18"/>
        </w:rPr>
        <w:t>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14 настоящих Методических рекомендаций.</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1"/>
        <w:rPr>
          <w:rFonts w:ascii="Tahoma" w:hAnsi="Tahoma" w:cs="Tahoma"/>
          <w:sz w:val="18"/>
          <w:szCs w:val="18"/>
        </w:rPr>
      </w:pPr>
      <w:r w:rsidRPr="00EF03D4">
        <w:rPr>
          <w:rFonts w:ascii="Tahoma" w:hAnsi="Tahoma" w:cs="Tahoma"/>
          <w:sz w:val="18"/>
          <w:szCs w:val="18"/>
        </w:rPr>
        <w:t>Сроки представления Сведений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13. 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с учетом особенностей, указанных в настоящих Методических рекомендациях.</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rsidR="00EF03D4" w:rsidRPr="00EF03D4" w:rsidRDefault="00EF03D4">
      <w:pPr>
        <w:pStyle w:val="ConsPlusNormal"/>
        <w:spacing w:before="220"/>
        <w:ind w:firstLine="540"/>
        <w:jc w:val="both"/>
        <w:rPr>
          <w:rFonts w:ascii="Tahoma" w:hAnsi="Tahoma" w:cs="Tahoma"/>
          <w:sz w:val="18"/>
          <w:szCs w:val="18"/>
        </w:rPr>
      </w:pPr>
      <w:bookmarkStart w:id="5" w:name="P75"/>
      <w:bookmarkEnd w:id="5"/>
      <w:r w:rsidRPr="00EF03D4">
        <w:rPr>
          <w:rFonts w:ascii="Tahoma" w:hAnsi="Tahoma" w:cs="Tahoma"/>
          <w:sz w:val="18"/>
          <w:szCs w:val="18"/>
        </w:rPr>
        <w:t>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15. 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законом от 3 декабря 2012 г. N 230-ФЗ "О контроле за соответствием расходов лиц, замещающих государственные должности, и иных лиц их доходам".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16. Сведения могут быть представлены служащим (работником) в любое время, начиная с 1 января года, следующего за отчетным.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17. 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18.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12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Нерабочий день не является основанием для переноса срока представления Сведений.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19. 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N 414-ФЗ "Об общих принципах организации публичной власти в субъектах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20. 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N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 Также им представляются сведения о доходах, об имуществе и обязательствах имущественного характера в течение 15 дней со дня назначения в соответствии с частью 27 статьи 19 указанного Федерального закона.</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1"/>
        <w:rPr>
          <w:rFonts w:ascii="Tahoma" w:hAnsi="Tahoma" w:cs="Tahoma"/>
          <w:sz w:val="18"/>
          <w:szCs w:val="18"/>
        </w:rPr>
      </w:pPr>
      <w:r w:rsidRPr="00EF03D4">
        <w:rPr>
          <w:rFonts w:ascii="Tahoma" w:hAnsi="Tahoma" w:cs="Tahoma"/>
          <w:sz w:val="18"/>
          <w:szCs w:val="18"/>
        </w:rPr>
        <w:t>Лица, в отношении которых представляются Сведения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21. Сведения представляются отдельно: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в отношении служащего (работника),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в отношении его супруги (супруга),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в отношении каждого несовершеннолетнего ребенка служащего (работника).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1"/>
        <w:rPr>
          <w:rFonts w:ascii="Tahoma" w:hAnsi="Tahoma" w:cs="Tahoma"/>
          <w:sz w:val="18"/>
          <w:szCs w:val="18"/>
        </w:rPr>
      </w:pPr>
      <w:r w:rsidRPr="00EF03D4">
        <w:rPr>
          <w:rFonts w:ascii="Tahoma" w:hAnsi="Tahoma" w:cs="Tahoma"/>
          <w:sz w:val="18"/>
          <w:szCs w:val="18"/>
        </w:rPr>
        <w:t>Отчетный период и отчетная дата представления Сведений</w:t>
      </w:r>
    </w:p>
    <w:p w:rsidR="00EF03D4" w:rsidRPr="00EF03D4" w:rsidRDefault="00EF03D4">
      <w:pPr>
        <w:pStyle w:val="ConsPlusNormal"/>
        <w:spacing w:before="220"/>
        <w:ind w:firstLine="540"/>
        <w:jc w:val="both"/>
        <w:rPr>
          <w:rFonts w:ascii="Tahoma" w:hAnsi="Tahoma" w:cs="Tahoma"/>
          <w:sz w:val="18"/>
          <w:szCs w:val="18"/>
        </w:rPr>
      </w:pPr>
      <w:bookmarkStart w:id="6" w:name="P92"/>
      <w:bookmarkEnd w:id="6"/>
      <w:r w:rsidRPr="00EF03D4">
        <w:rPr>
          <w:rFonts w:ascii="Tahoma" w:hAnsi="Tahoma" w:cs="Tahoma"/>
          <w:sz w:val="18"/>
          <w:szCs w:val="18"/>
        </w:rPr>
        <w:t>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гражданин, а также в случаях, указанных в пунктах 4 и 5 настоящих Методических рекомендаций, служащий представляет:</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служащий (работник) в рамках декларационной кампании представляет:</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а) 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23. 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справку также в августе 2026 года).</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1"/>
        <w:rPr>
          <w:rFonts w:ascii="Tahoma" w:hAnsi="Tahoma" w:cs="Tahoma"/>
          <w:sz w:val="18"/>
          <w:szCs w:val="18"/>
        </w:rPr>
      </w:pPr>
      <w:r w:rsidRPr="00EF03D4">
        <w:rPr>
          <w:rFonts w:ascii="Tahoma" w:hAnsi="Tahoma" w:cs="Tahoma"/>
          <w:sz w:val="18"/>
          <w:szCs w:val="18"/>
        </w:rPr>
        <w:t>Замещение конкретной должности на отчетную дату как основание для представления Сведений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24. Представление Сведений после увольнения служащего (работника) в период с 1 января по 30 апреля 2026 г. не требуется.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25. 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справка с указанием обеих должностей.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справки (заполняются отдельно для каждой должности). Количество справок, представляемых в отношении членов семьи, не меняется.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Члены Совета федеральной территории "Сириус" при наличии оснований в рамках декларационной кампании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w:t>
      </w:r>
      <w:r w:rsidRPr="00EF03D4">
        <w:rPr>
          <w:rFonts w:ascii="Tahoma" w:hAnsi="Tahoma" w:cs="Tahoma"/>
          <w:sz w:val="18"/>
          <w:szCs w:val="18"/>
        </w:rPr>
        <w:lastRenderedPageBreak/>
        <w:t>(см., например, часть 9 статьи 12 Федерального закона от 22 декабря 2020 г. N 437-ФЗ "О федеральной территории "Сириус").</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справку, на титульном листе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1"/>
        <w:rPr>
          <w:rFonts w:ascii="Tahoma" w:hAnsi="Tahoma" w:cs="Tahoma"/>
          <w:sz w:val="18"/>
          <w:szCs w:val="18"/>
        </w:rPr>
      </w:pPr>
      <w:r w:rsidRPr="00EF03D4">
        <w:rPr>
          <w:rFonts w:ascii="Tahoma" w:hAnsi="Tahoma" w:cs="Tahoma"/>
          <w:sz w:val="18"/>
          <w:szCs w:val="18"/>
        </w:rPr>
        <w:t>Определение круга лиц (членов семьи), в отношении которых необходимо представить Сведения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26. Сведения представляются с учетом семейного положения, в котором находился гражданин, служащий (работник) по состоянию на отчетную дату.</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Супруги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27. 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28.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Перечень ситуаций и рекомендуемые действия (таблица N 1):</w:t>
      </w:r>
    </w:p>
    <w:p w:rsidR="00EF03D4" w:rsidRPr="00EF03D4" w:rsidRDefault="00EF03D4">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EF03D4" w:rsidRPr="00EF03D4">
        <w:tc>
          <w:tcPr>
            <w:tcW w:w="9071" w:type="dxa"/>
            <w:gridSpan w:val="2"/>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Пример: служащий (работник) представляет Сведения в 2026 году (за отчетный 2025 год)</w:t>
            </w:r>
          </w:p>
        </w:tc>
      </w:tr>
      <w:tr w:rsidR="00EF03D4" w:rsidRPr="00EF03D4">
        <w:tc>
          <w:tcPr>
            <w:tcW w:w="2891" w:type="dxa"/>
          </w:tcPr>
          <w:p w:rsidR="00EF03D4" w:rsidRPr="00EF03D4" w:rsidRDefault="00EF03D4">
            <w:pPr>
              <w:pStyle w:val="ConsPlusNormal"/>
              <w:rPr>
                <w:rFonts w:ascii="Tahoma" w:hAnsi="Tahoma" w:cs="Tahoma"/>
                <w:sz w:val="18"/>
                <w:szCs w:val="18"/>
              </w:rPr>
            </w:pPr>
            <w:r w:rsidRPr="00EF03D4">
              <w:rPr>
                <w:rFonts w:ascii="Tahoma" w:hAnsi="Tahoma" w:cs="Tahoma"/>
                <w:sz w:val="18"/>
                <w:szCs w:val="18"/>
              </w:rPr>
              <w:t>Брак заключен в органах записи актов гражданского состояния (далее - ЗАГС) в ноябре 2025 года</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Брак заключен в ЗАГСе в марте 2026 года</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rsidR="00EF03D4" w:rsidRPr="00EF03D4">
        <w:tc>
          <w:tcPr>
            <w:tcW w:w="9071" w:type="dxa"/>
            <w:gridSpan w:val="2"/>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Брак заключен 1 февраля 2026 года</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Брак заключен 2 августа 2026 года</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в отношении супруги (супруга) не представляются, поскольку по состоянию на отчетную дату (1 августа 2026 года) гражданин еще не состоял в браке</w:t>
            </w:r>
          </w:p>
        </w:tc>
      </w:tr>
    </w:tbl>
    <w:p w:rsidR="00EF03D4" w:rsidRPr="00EF03D4" w:rsidRDefault="00EF03D4">
      <w:pPr>
        <w:pStyle w:val="ConsPlusNormal"/>
        <w:jc w:val="both"/>
        <w:rPr>
          <w:rFonts w:ascii="Tahoma" w:hAnsi="Tahoma" w:cs="Tahoma"/>
          <w:sz w:val="18"/>
          <w:szCs w:val="18"/>
        </w:rPr>
      </w:pPr>
    </w:p>
    <w:p w:rsidR="00EF03D4" w:rsidRPr="00EF03D4" w:rsidRDefault="00EF03D4">
      <w:pPr>
        <w:pStyle w:val="ConsPlusNormal"/>
        <w:ind w:firstLine="540"/>
        <w:jc w:val="both"/>
        <w:rPr>
          <w:rFonts w:ascii="Tahoma" w:hAnsi="Tahoma" w:cs="Tahoma"/>
          <w:sz w:val="18"/>
          <w:szCs w:val="18"/>
        </w:rPr>
      </w:pPr>
      <w:r w:rsidRPr="00EF03D4">
        <w:rPr>
          <w:rFonts w:ascii="Tahoma" w:hAnsi="Tahoma" w:cs="Tahoma"/>
          <w:sz w:val="18"/>
          <w:szCs w:val="18"/>
        </w:rPr>
        <w:t>29. 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Перечень ситуаций и рекомендуемые действия (таблица N 2)</w:t>
      </w:r>
    </w:p>
    <w:p w:rsidR="00EF03D4" w:rsidRPr="00EF03D4" w:rsidRDefault="00EF03D4">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EF03D4" w:rsidRPr="00EF03D4">
        <w:tc>
          <w:tcPr>
            <w:tcW w:w="9071" w:type="dxa"/>
            <w:gridSpan w:val="2"/>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Пример: служащий (работник) представляет Сведения в 2026 году (за отчетный 2025 год)</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Брак был расторгнут в ЗАГСе в ноябре 2025 года</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 xml:space="preserve">Окончательное решение о расторжении брака было принято судом 12 декабря 2025 </w:t>
            </w:r>
            <w:r w:rsidRPr="00EF03D4">
              <w:rPr>
                <w:rFonts w:ascii="Tahoma" w:hAnsi="Tahoma" w:cs="Tahoma"/>
                <w:sz w:val="18"/>
                <w:szCs w:val="18"/>
              </w:rPr>
              <w:lastRenderedPageBreak/>
              <w:t>года и вступило в законную силу 12 января 2026 года</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lastRenderedPageBreak/>
              <w:t xml:space="preserve">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w:t>
            </w:r>
            <w:r w:rsidRPr="00EF03D4">
              <w:rPr>
                <w:rFonts w:ascii="Tahoma" w:hAnsi="Tahoma" w:cs="Tahoma"/>
                <w:sz w:val="18"/>
                <w:szCs w:val="18"/>
              </w:rPr>
              <w:lastRenderedPageBreak/>
              <w:t>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lastRenderedPageBreak/>
              <w:t>Брак был расторгнут в ЗАГСе в марте 2026 года</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EF03D4" w:rsidRPr="00EF03D4">
        <w:tc>
          <w:tcPr>
            <w:tcW w:w="9071" w:type="dxa"/>
            <w:gridSpan w:val="2"/>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Брак был расторгнут в ЗАГСе 1 июля 2026 года</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Брак был расторгнут в ЗАГСе 2 августа 2026 года</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Окончательное решение о расторжении брака было принято судом 4 июля 2026 года и вступило в законную силу 4 августа 2026 года</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на отчетную дату (1 августа 2026 года) гражданин считался состоявшим в браке</w:t>
            </w:r>
          </w:p>
        </w:tc>
      </w:tr>
    </w:tbl>
    <w:p w:rsidR="00EF03D4" w:rsidRPr="00EF03D4" w:rsidRDefault="00EF03D4">
      <w:pPr>
        <w:pStyle w:val="ConsPlusNormal"/>
        <w:jc w:val="both"/>
        <w:rPr>
          <w:rFonts w:ascii="Tahoma" w:hAnsi="Tahoma" w:cs="Tahoma"/>
          <w:sz w:val="18"/>
          <w:szCs w:val="18"/>
        </w:rPr>
      </w:pPr>
    </w:p>
    <w:p w:rsidR="00EF03D4" w:rsidRPr="00EF03D4" w:rsidRDefault="00EF03D4">
      <w:pPr>
        <w:pStyle w:val="ConsPlusNormal"/>
        <w:ind w:firstLine="540"/>
        <w:jc w:val="both"/>
        <w:rPr>
          <w:rFonts w:ascii="Tahoma" w:hAnsi="Tahoma" w:cs="Tahoma"/>
          <w:sz w:val="18"/>
          <w:szCs w:val="18"/>
        </w:rPr>
      </w:pPr>
      <w:r w:rsidRPr="00EF03D4">
        <w:rPr>
          <w:rFonts w:ascii="Tahoma" w:hAnsi="Tahoma" w:cs="Tahoma"/>
          <w:sz w:val="18"/>
          <w:szCs w:val="18"/>
        </w:rPr>
        <w:t>30. Лица, обязанные представлять Сведения в отношении своих супруг (супругов), не представляют такие Сведения, если: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их супруги призваны на военную службу по мобилизации в Вооруженные Силы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этом случае такими лицами могут быть представлены документы, подтверждающие обозначенный статус их супруг (супругов).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(https://mintrud.gov.ru/ministry/programms/anticorruption/9/23).</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Несовершеннолетние дети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31. 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Перечень ситуаций и рекомендуемые действия (таблица N 3):</w:t>
      </w:r>
    </w:p>
    <w:p w:rsidR="00EF03D4" w:rsidRPr="00EF03D4" w:rsidRDefault="00EF03D4">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EF03D4" w:rsidRPr="00EF03D4">
        <w:tc>
          <w:tcPr>
            <w:tcW w:w="9071" w:type="dxa"/>
            <w:gridSpan w:val="2"/>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Пример: служащий (работник) представляет Сведения в 2026 году (за отчетный 2025 год)</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Дочери служащего (работника) 21 мая 2025 года исполнилось 18 лет</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Дочери служащего (работника) 30 декабря 2025 года исполнилось 18 лет</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Дочери служащего (работника) 31 декабря 2025 года исполнилось 18 лет</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на отчетную дату (31 декабря 2025 года) она еще являлась несовершеннолетней</w:t>
            </w:r>
          </w:p>
        </w:tc>
      </w:tr>
      <w:tr w:rsidR="00EF03D4" w:rsidRPr="00EF03D4">
        <w:tc>
          <w:tcPr>
            <w:tcW w:w="9071" w:type="dxa"/>
            <w:gridSpan w:val="2"/>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Пример: гражданин представляет в сентябре 2026 года Сведения в связи с назначением на должность. Отчетной датой является 1 августа 2026 года</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Сыну гражданина 5 мая 2026 года исполнилось 18 лет</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в отношении сына не представляются, поскольку он являлся совершеннолетним и по состоянию на отчетную дату (1 августа 2026 года) сыну гражданина уже исполнилось 18 лет</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Сыну гражданина 1 августа 2026 года исполнилось 18 лет</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Сыну гражданина 17 августа 2026 года исполнилось 18 лет</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rsidR="00EF03D4" w:rsidRPr="00EF03D4" w:rsidRDefault="00EF03D4">
      <w:pPr>
        <w:pStyle w:val="ConsPlusNormal"/>
        <w:jc w:val="both"/>
        <w:rPr>
          <w:rFonts w:ascii="Tahoma" w:hAnsi="Tahoma" w:cs="Tahoma"/>
          <w:sz w:val="18"/>
          <w:szCs w:val="18"/>
        </w:rPr>
      </w:pPr>
    </w:p>
    <w:p w:rsidR="00EF03D4" w:rsidRPr="00EF03D4" w:rsidRDefault="00EF03D4">
      <w:pPr>
        <w:pStyle w:val="ConsPlusNormal"/>
        <w:ind w:firstLine="540"/>
        <w:jc w:val="both"/>
        <w:rPr>
          <w:rFonts w:ascii="Tahoma" w:hAnsi="Tahoma" w:cs="Tahoma"/>
          <w:sz w:val="18"/>
          <w:szCs w:val="18"/>
        </w:rPr>
      </w:pPr>
      <w:r w:rsidRPr="00EF03D4">
        <w:rPr>
          <w:rFonts w:ascii="Tahoma" w:hAnsi="Tahoma" w:cs="Tahoma"/>
          <w:sz w:val="18"/>
          <w:szCs w:val="18"/>
        </w:rPr>
        <w:t>33. 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1"/>
        <w:rPr>
          <w:rFonts w:ascii="Tahoma" w:hAnsi="Tahoma" w:cs="Tahoma"/>
          <w:sz w:val="18"/>
          <w:szCs w:val="18"/>
        </w:rPr>
      </w:pPr>
      <w:r w:rsidRPr="00EF03D4">
        <w:rPr>
          <w:rFonts w:ascii="Tahoma" w:hAnsi="Tahoma" w:cs="Tahoma"/>
          <w:sz w:val="18"/>
          <w:szCs w:val="18"/>
        </w:rPr>
        <w:t>Уточнение представленных Сведений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36. 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37. 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включительно в срок до 31 мая года, следующего за отчетным.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38. 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39. Представление уточненных Сведений за предыдущие декларационные кампании не предусмотрено.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40.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1"/>
        <w:rPr>
          <w:rFonts w:ascii="Tahoma" w:hAnsi="Tahoma" w:cs="Tahoma"/>
          <w:sz w:val="18"/>
          <w:szCs w:val="18"/>
        </w:rPr>
      </w:pPr>
      <w:r w:rsidRPr="00EF03D4">
        <w:rPr>
          <w:rFonts w:ascii="Tahoma" w:hAnsi="Tahoma" w:cs="Tahoma"/>
          <w:sz w:val="18"/>
          <w:szCs w:val="18"/>
        </w:rPr>
        <w:lastRenderedPageBreak/>
        <w:t>Рекомендуемые действия при невозможности по объективным причинам представить Сведения в отношении члена семьи</w:t>
      </w:r>
    </w:p>
    <w:p w:rsidR="00EF03D4" w:rsidRPr="00EF03D4" w:rsidRDefault="00EF03D4">
      <w:pPr>
        <w:pStyle w:val="ConsPlusNormal"/>
        <w:spacing w:before="220"/>
        <w:ind w:firstLine="540"/>
        <w:jc w:val="both"/>
        <w:rPr>
          <w:rFonts w:ascii="Tahoma" w:hAnsi="Tahoma" w:cs="Tahoma"/>
          <w:sz w:val="18"/>
          <w:szCs w:val="18"/>
        </w:rPr>
      </w:pPr>
      <w:bookmarkStart w:id="7" w:name="P186"/>
      <w:bookmarkEnd w:id="7"/>
      <w:r w:rsidRPr="00EF03D4">
        <w:rPr>
          <w:rFonts w:ascii="Tahoma" w:hAnsi="Tahoma" w:cs="Tahoma"/>
          <w:sz w:val="18"/>
          <w:szCs w:val="18"/>
        </w:rPr>
        <w:t>41. 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пунктом 10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Заявление может быть подано служащим (работником) также в случае назначения на должность в ситуации, указанной в пункте 4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(https://mintrud.gov.ru/ministry/programms/anticorruption/9/24).</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42. Заявление подается в порядке, установленном нормативным правовым актом органа публичной власти или актом организации.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43. Заявление направляется до истечения срока, установленного для представления служащим (работником) Сведений.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Заявление подается (таблица N 4):</w:t>
      </w:r>
    </w:p>
    <w:p w:rsidR="00EF03D4" w:rsidRPr="00EF03D4" w:rsidRDefault="00EF03D4">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 Управление Президента Российской Федерации по вопросам государственной службы, кадров и противодействия коррупции</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w:t>
            </w:r>
            <w:r w:rsidRPr="00EF03D4">
              <w:rPr>
                <w:rFonts w:ascii="Tahoma" w:hAnsi="Tahoma" w:cs="Tahoma"/>
                <w:sz w:val="18"/>
                <w:szCs w:val="18"/>
              </w:rPr>
              <w:lastRenderedPageBreak/>
              <w:t>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lastRenderedPageBreak/>
              <w:t>В Департамент кадров Правительства Российской Федерации</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 подразделение кадровой службы федерального государственного органа по профилактике коррупционных и иных правонарушений</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 подразделение по профилактике коррупционных 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лицами, замещающими должности, включенные в перечни, установленные нормативными актами государственных 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 подразделение по профилактике коррупционных и иных правонарушений Центрального банка Российской Федерации</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EF03D4" w:rsidRPr="00EF03D4">
        <w:tc>
          <w:tcPr>
            <w:tcW w:w="2891"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180"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EF03D4" w:rsidRPr="00EF03D4" w:rsidRDefault="00EF03D4">
      <w:pPr>
        <w:pStyle w:val="ConsPlusNormal"/>
        <w:jc w:val="both"/>
        <w:rPr>
          <w:rFonts w:ascii="Tahoma" w:hAnsi="Tahoma" w:cs="Tahoma"/>
          <w:sz w:val="18"/>
          <w:szCs w:val="18"/>
        </w:rPr>
      </w:pPr>
    </w:p>
    <w:p w:rsidR="00EF03D4" w:rsidRPr="00EF03D4" w:rsidRDefault="00EF03D4">
      <w:pPr>
        <w:pStyle w:val="ConsPlusNormal"/>
        <w:ind w:firstLine="540"/>
        <w:jc w:val="both"/>
        <w:rPr>
          <w:rFonts w:ascii="Tahoma" w:hAnsi="Tahoma" w:cs="Tahoma"/>
          <w:sz w:val="18"/>
          <w:szCs w:val="18"/>
        </w:rPr>
      </w:pPr>
      <w:r w:rsidRPr="00EF03D4">
        <w:rPr>
          <w:rFonts w:ascii="Tahoma" w:hAnsi="Tahoma" w:cs="Tahoma"/>
          <w:sz w:val="18"/>
          <w:szCs w:val="18"/>
        </w:rPr>
        <w:t>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см. пункты 47 и 48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46. 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1"/>
        <w:rPr>
          <w:rFonts w:ascii="Tahoma" w:hAnsi="Tahoma" w:cs="Tahoma"/>
          <w:sz w:val="18"/>
          <w:szCs w:val="18"/>
        </w:rPr>
      </w:pPr>
      <w:r w:rsidRPr="00EF03D4">
        <w:rPr>
          <w:rFonts w:ascii="Tahoma" w:hAnsi="Tahoma" w:cs="Tahoma"/>
          <w:sz w:val="18"/>
          <w:szCs w:val="18"/>
        </w:rPr>
        <w:t xml:space="preserve">Рекомендуемые действия при невозможности представить Сведения вследствие не </w:t>
      </w:r>
      <w:r w:rsidRPr="00EF03D4">
        <w:rPr>
          <w:rFonts w:ascii="Tahoma" w:hAnsi="Tahoma" w:cs="Tahoma"/>
          <w:sz w:val="18"/>
          <w:szCs w:val="18"/>
        </w:rPr>
        <w:lastRenderedPageBreak/>
        <w:t>зависящих от служащего (работника) обстоятельств</w:t>
      </w:r>
    </w:p>
    <w:p w:rsidR="00EF03D4" w:rsidRPr="00EF03D4" w:rsidRDefault="00EF03D4">
      <w:pPr>
        <w:pStyle w:val="ConsPlusNormal"/>
        <w:spacing w:before="220"/>
        <w:ind w:firstLine="540"/>
        <w:jc w:val="both"/>
        <w:rPr>
          <w:rFonts w:ascii="Tahoma" w:hAnsi="Tahoma" w:cs="Tahoma"/>
          <w:sz w:val="18"/>
          <w:szCs w:val="18"/>
        </w:rPr>
      </w:pPr>
      <w:bookmarkStart w:id="8" w:name="P213"/>
      <w:bookmarkEnd w:id="8"/>
      <w:r w:rsidRPr="00EF03D4">
        <w:rPr>
          <w:rFonts w:ascii="Tahoma" w:hAnsi="Tahoma" w:cs="Tahoma"/>
          <w:sz w:val="18"/>
          <w:szCs w:val="18"/>
        </w:rPr>
        <w:t>47. 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Конкретные не зависящие от служащего (работника) обстоятельства приведены в части 4 статьи 13 Федерального закона от 25 декабря 2008 г. N 273-ФЗ "О противодействии коррупции".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EF03D4" w:rsidRPr="00EF03D4" w:rsidRDefault="00EF03D4">
      <w:pPr>
        <w:pStyle w:val="ConsPlusNormal"/>
        <w:spacing w:before="220"/>
        <w:ind w:firstLine="540"/>
        <w:jc w:val="both"/>
        <w:rPr>
          <w:rFonts w:ascii="Tahoma" w:hAnsi="Tahoma" w:cs="Tahoma"/>
          <w:sz w:val="18"/>
          <w:szCs w:val="18"/>
        </w:rPr>
      </w:pPr>
      <w:bookmarkStart w:id="9" w:name="P216"/>
      <w:bookmarkEnd w:id="9"/>
      <w:r w:rsidRPr="00EF03D4">
        <w:rPr>
          <w:rFonts w:ascii="Tahoma" w:hAnsi="Tahoma" w:cs="Tahoma"/>
          <w:sz w:val="18"/>
          <w:szCs w:val="18"/>
        </w:rP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EF03D4" w:rsidRPr="00EF03D4" w:rsidRDefault="00EF03D4">
      <w:pPr>
        <w:pStyle w:val="ConsPlusNormal"/>
        <w:jc w:val="both"/>
        <w:rPr>
          <w:rFonts w:ascii="Tahoma" w:hAnsi="Tahoma" w:cs="Tahoma"/>
          <w:sz w:val="18"/>
          <w:szCs w:val="18"/>
        </w:rPr>
      </w:pPr>
    </w:p>
    <w:p w:rsidR="00EF03D4" w:rsidRPr="00EF03D4" w:rsidRDefault="00EF03D4">
      <w:pPr>
        <w:pStyle w:val="ConsPlusTitle"/>
        <w:jc w:val="center"/>
        <w:outlineLvl w:val="0"/>
        <w:rPr>
          <w:rFonts w:ascii="Tahoma" w:hAnsi="Tahoma" w:cs="Tahoma"/>
          <w:sz w:val="18"/>
          <w:szCs w:val="18"/>
        </w:rPr>
      </w:pPr>
      <w:r w:rsidRPr="00EF03D4">
        <w:rPr>
          <w:rFonts w:ascii="Tahoma" w:hAnsi="Tahoma" w:cs="Tahoma"/>
          <w:sz w:val="18"/>
          <w:szCs w:val="18"/>
        </w:rPr>
        <w:t>II. Заполнение справки о доходах, расходах, об имуществе</w:t>
      </w:r>
    </w:p>
    <w:p w:rsidR="00EF03D4" w:rsidRPr="00EF03D4" w:rsidRDefault="00EF03D4">
      <w:pPr>
        <w:pStyle w:val="ConsPlusTitle"/>
        <w:jc w:val="center"/>
        <w:rPr>
          <w:rFonts w:ascii="Tahoma" w:hAnsi="Tahoma" w:cs="Tahoma"/>
          <w:sz w:val="18"/>
          <w:szCs w:val="18"/>
        </w:rPr>
      </w:pPr>
      <w:r w:rsidRPr="00EF03D4">
        <w:rPr>
          <w:rFonts w:ascii="Tahoma" w:hAnsi="Tahoma" w:cs="Tahoma"/>
          <w:sz w:val="18"/>
          <w:szCs w:val="18"/>
        </w:rPr>
        <w:t>и обязательствах имущественного характера</w:t>
      </w:r>
    </w:p>
    <w:p w:rsidR="00EF03D4" w:rsidRPr="00EF03D4" w:rsidRDefault="00EF03D4">
      <w:pPr>
        <w:pStyle w:val="ConsPlusNormal"/>
        <w:jc w:val="both"/>
        <w:rPr>
          <w:rFonts w:ascii="Tahoma" w:hAnsi="Tahoma" w:cs="Tahoma"/>
          <w:sz w:val="18"/>
          <w:szCs w:val="18"/>
        </w:rPr>
      </w:pPr>
    </w:p>
    <w:p w:rsidR="00EF03D4" w:rsidRPr="00EF03D4" w:rsidRDefault="00EF03D4">
      <w:pPr>
        <w:pStyle w:val="ConsPlusNormal"/>
        <w:ind w:firstLine="540"/>
        <w:jc w:val="both"/>
        <w:rPr>
          <w:rFonts w:ascii="Tahoma" w:hAnsi="Tahoma" w:cs="Tahoma"/>
          <w:sz w:val="18"/>
          <w:szCs w:val="18"/>
        </w:rPr>
      </w:pPr>
      <w:r w:rsidRPr="00EF03D4">
        <w:rPr>
          <w:rFonts w:ascii="Tahoma" w:hAnsi="Tahoma" w:cs="Tahoma"/>
          <w:sz w:val="18"/>
          <w:szCs w:val="18"/>
        </w:rPr>
        <w:t>49. Форма справки является унифицированной для всех лиц, на которых распространяется обязанность представлять Сведения.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50. 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Например, заполнение справки на основании полученной информации из единой формы, установленной Указанием Банка России от 27 мая 2021 г. N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N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51.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N 5):</w:t>
      </w:r>
    </w:p>
    <w:p w:rsidR="00EF03D4" w:rsidRPr="00EF03D4" w:rsidRDefault="00EF03D4">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6803"/>
      </w:tblGrid>
      <w:tr w:rsidR="00EF03D4" w:rsidRPr="00EF03D4">
        <w:tc>
          <w:tcPr>
            <w:tcW w:w="2268" w:type="dxa"/>
          </w:tcPr>
          <w:p w:rsidR="00EF03D4" w:rsidRPr="00EF03D4" w:rsidRDefault="00EF03D4">
            <w:pPr>
              <w:pStyle w:val="ConsPlusNormal"/>
              <w:jc w:val="center"/>
              <w:rPr>
                <w:rFonts w:ascii="Tahoma" w:hAnsi="Tahoma" w:cs="Tahoma"/>
                <w:sz w:val="18"/>
                <w:szCs w:val="18"/>
              </w:rPr>
            </w:pPr>
            <w:bookmarkStart w:id="10" w:name="P227"/>
            <w:bookmarkEnd w:id="10"/>
            <w:r w:rsidRPr="00EF03D4">
              <w:rPr>
                <w:rFonts w:ascii="Tahoma" w:hAnsi="Tahoma" w:cs="Tahoma"/>
                <w:sz w:val="18"/>
                <w:szCs w:val="18"/>
              </w:rPr>
              <w:t>Раздел (подраздел) справки</w:t>
            </w:r>
          </w:p>
        </w:tc>
        <w:tc>
          <w:tcPr>
            <w:tcW w:w="6803" w:type="dxa"/>
          </w:tcPr>
          <w:p w:rsidR="00EF03D4" w:rsidRPr="00EF03D4" w:rsidRDefault="00EF03D4">
            <w:pPr>
              <w:pStyle w:val="ConsPlusNormal"/>
              <w:jc w:val="center"/>
              <w:rPr>
                <w:rFonts w:ascii="Tahoma" w:hAnsi="Tahoma" w:cs="Tahoma"/>
                <w:sz w:val="18"/>
                <w:szCs w:val="18"/>
              </w:rPr>
            </w:pPr>
            <w:r w:rsidRPr="00EF03D4">
              <w:rPr>
                <w:rFonts w:ascii="Tahoma" w:hAnsi="Tahoma" w:cs="Tahoma"/>
                <w:sz w:val="18"/>
                <w:szCs w:val="18"/>
              </w:rPr>
              <w:t>Источник информации</w:t>
            </w:r>
          </w:p>
        </w:tc>
      </w:tr>
      <w:tr w:rsidR="00EF03D4" w:rsidRPr="00EF03D4">
        <w:tc>
          <w:tcPr>
            <w:tcW w:w="2268" w:type="dxa"/>
            <w:vMerge w:val="restart"/>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о доходах</w:t>
            </w:r>
          </w:p>
        </w:tc>
        <w:tc>
          <w:tcPr>
            <w:tcW w:w="6803"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Справка о доходах и суммах налога физического лица, которую можно получить у представителя нанимателя (работодателя) или через Личный кабинет налогоплательщика (официальный сайт https://lkfl2.nalog.ru/lkfl)</w:t>
            </w:r>
          </w:p>
        </w:tc>
      </w:tr>
      <w:tr w:rsidR="00EF03D4" w:rsidRPr="00EF03D4">
        <w:tc>
          <w:tcPr>
            <w:tcW w:w="2268" w:type="dxa"/>
            <w:vMerge/>
          </w:tcPr>
          <w:p w:rsidR="00EF03D4" w:rsidRPr="00EF03D4" w:rsidRDefault="00EF03D4">
            <w:pPr>
              <w:pStyle w:val="ConsPlusNormal"/>
              <w:rPr>
                <w:rFonts w:ascii="Tahoma" w:hAnsi="Tahoma" w:cs="Tahoma"/>
                <w:sz w:val="18"/>
                <w:szCs w:val="18"/>
              </w:rPr>
            </w:pPr>
          </w:p>
        </w:tc>
        <w:tc>
          <w:tcPr>
            <w:tcW w:w="6803"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https://lkfl2.nalog.ru/lkfl) или посредством официального сайта Фонда пенсионного и социального страхования Российской Федерации (https://sfr.gov.ru/)</w:t>
            </w:r>
          </w:p>
        </w:tc>
      </w:tr>
      <w:tr w:rsidR="00EF03D4" w:rsidRPr="00EF03D4">
        <w:tc>
          <w:tcPr>
            <w:tcW w:w="2268" w:type="dxa"/>
            <w:vMerge/>
          </w:tcPr>
          <w:p w:rsidR="00EF03D4" w:rsidRPr="00EF03D4" w:rsidRDefault="00EF03D4">
            <w:pPr>
              <w:pStyle w:val="ConsPlusNormal"/>
              <w:rPr>
                <w:rFonts w:ascii="Tahoma" w:hAnsi="Tahoma" w:cs="Tahoma"/>
                <w:sz w:val="18"/>
                <w:szCs w:val="18"/>
              </w:rPr>
            </w:pPr>
          </w:p>
        </w:tc>
        <w:tc>
          <w:tcPr>
            <w:tcW w:w="6803"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Выписка о движении денежных средств по счету (в отношении доходов, которые могут подлежать отражению в строке "Иные доходы" раздела 1 (например, разовые сделки по продаже имущества)</w:t>
            </w:r>
          </w:p>
        </w:tc>
      </w:tr>
      <w:tr w:rsidR="00EF03D4" w:rsidRPr="00EF03D4">
        <w:tc>
          <w:tcPr>
            <w:tcW w:w="2268"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о недвижимом имуществе</w:t>
            </w:r>
          </w:p>
        </w:tc>
        <w:tc>
          <w:tcPr>
            <w:tcW w:w="6803"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Регистрационные документы.</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EF03D4" w:rsidRPr="00EF03D4">
        <w:tc>
          <w:tcPr>
            <w:tcW w:w="2268"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о транспортных средствах</w:t>
            </w:r>
          </w:p>
        </w:tc>
        <w:tc>
          <w:tcPr>
            <w:tcW w:w="6803"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Регистрационные документы.</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https://lkfl2.nalog.ru/lkfl)</w:t>
            </w:r>
          </w:p>
        </w:tc>
      </w:tr>
      <w:tr w:rsidR="00EF03D4" w:rsidRPr="00EF03D4">
        <w:tc>
          <w:tcPr>
            <w:tcW w:w="2268"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о счетах в банках и иных кредитных организациях</w:t>
            </w:r>
          </w:p>
        </w:tc>
        <w:tc>
          <w:tcPr>
            <w:tcW w:w="6803"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 первую очередь, целесообразно получить данные сведения через личный кабинет налогоплательщика (официальный сайт https://lkfl2.nalog.ru/lkfl).</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Впоследствии указанные сведения получаются через банк (иную кредитную организацию) на основании Указания Банка России N 5798-У (как лично, так и с использованием средств дистанционного обслуживания клиента)</w:t>
            </w:r>
          </w:p>
        </w:tc>
      </w:tr>
      <w:tr w:rsidR="00EF03D4" w:rsidRPr="00EF03D4">
        <w:tc>
          <w:tcPr>
            <w:tcW w:w="2268"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о ценных бумагах</w:t>
            </w:r>
          </w:p>
        </w:tc>
        <w:tc>
          <w:tcPr>
            <w:tcW w:w="6803"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Регистрационные документы</w:t>
            </w:r>
          </w:p>
        </w:tc>
      </w:tr>
      <w:tr w:rsidR="00EF03D4" w:rsidRPr="00EF03D4">
        <w:tc>
          <w:tcPr>
            <w:tcW w:w="2268"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об объектах недвижимого имущества, находящихся в пользовании</w:t>
            </w:r>
          </w:p>
        </w:tc>
        <w:tc>
          <w:tcPr>
            <w:tcW w:w="6803"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При наличии письменных оснований пользования - письменные основания</w:t>
            </w:r>
          </w:p>
        </w:tc>
      </w:tr>
      <w:tr w:rsidR="00EF03D4" w:rsidRPr="00EF03D4">
        <w:tc>
          <w:tcPr>
            <w:tcW w:w="2268"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Сведения о срочных обязательствах финансового характера</w:t>
            </w:r>
          </w:p>
        </w:tc>
        <w:tc>
          <w:tcPr>
            <w:tcW w:w="6803"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При наличии письменных оснований возникновения обязательства - письменные основания.</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N 5798-У (как лично, так и с использованием средств дистанционного обслуживания клиента)</w:t>
            </w:r>
          </w:p>
        </w:tc>
      </w:tr>
    </w:tbl>
    <w:p w:rsidR="00EF03D4" w:rsidRPr="00EF03D4" w:rsidRDefault="00EF03D4">
      <w:pPr>
        <w:pStyle w:val="ConsPlusNormal"/>
        <w:jc w:val="both"/>
        <w:rPr>
          <w:rFonts w:ascii="Tahoma" w:hAnsi="Tahoma" w:cs="Tahoma"/>
          <w:sz w:val="18"/>
          <w:szCs w:val="18"/>
        </w:rPr>
      </w:pPr>
    </w:p>
    <w:p w:rsidR="00EF03D4" w:rsidRPr="00EF03D4" w:rsidRDefault="00EF03D4">
      <w:pPr>
        <w:pStyle w:val="ConsPlusNormal"/>
        <w:ind w:firstLine="540"/>
        <w:jc w:val="both"/>
        <w:rPr>
          <w:rFonts w:ascii="Tahoma" w:hAnsi="Tahoma" w:cs="Tahoma"/>
          <w:sz w:val="18"/>
          <w:szCs w:val="18"/>
        </w:rPr>
      </w:pPr>
      <w:r w:rsidRPr="00EF03D4">
        <w:rPr>
          <w:rFonts w:ascii="Tahoma" w:hAnsi="Tahoma" w:cs="Tahoma"/>
          <w:sz w:val="18"/>
          <w:szCs w:val="18"/>
        </w:rPr>
        <w:t>Ряд сведений также доступен на Портале государственных услуг Российской Федерации (https://www.gosuslugi.ru/).</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Отдельные примеры конкретных источников информации указаны в применимых положениях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52. Справка заполняется с использованием актуальной на дату представления Сведений версии СПО "Справки БК".</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53. Оценка актуальности версии СПО "Справки БК" осуществляется при приеме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печати справки формируются зоны со служебной информацией (штриховые коды и т.п.), нанесение каких-либо пометок на которые не допускается.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54. Актуальная версия СПО "Справки БК" размещена на официальном сайте Президента Российской Федерации (http://www.kremlin.ru/structure/additional/12),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(https://gossluzhba.gov.ru/anticorruption/spravki_bk).</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55. При заполнении справок с использованием СПО "Справки БК" личной подписью заверяется только последний лист справки. Наличие подписи на каждом листе (в пустой части страницы) не является нарушением. Лицу, представляющему справки, рекомендуется распечатать, подписать и представить справки в течение одного дня (одной датой).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При этом следует избегать ситуаций, при которых дата печати справки, автоматически формируемая в </w:t>
      </w:r>
      <w:r w:rsidRPr="00EF03D4">
        <w:rPr>
          <w:rFonts w:ascii="Tahoma" w:hAnsi="Tahoma" w:cs="Tahoma"/>
          <w:sz w:val="18"/>
          <w:szCs w:val="18"/>
        </w:rPr>
        <w:lastRenderedPageBreak/>
        <w:t>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для печати справок используется лазерный принтер, обеспечивающий качественную печать;</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не допускаются дефекты печати в виде полос, пятен (при дефектах барабана или картриджа принтера);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не допускаются рукописные 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Справки не следует прошивать и фиксировать скрепкой.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Печатать справки рекомендуется только на одной стороне листа.</w:t>
      </w:r>
    </w:p>
    <w:p w:rsidR="00EF03D4" w:rsidRPr="00EF03D4" w:rsidRDefault="00EF03D4">
      <w:pPr>
        <w:pStyle w:val="ConsPlusNormal"/>
        <w:spacing w:before="220"/>
        <w:ind w:firstLine="540"/>
        <w:jc w:val="both"/>
        <w:rPr>
          <w:rFonts w:ascii="Tahoma" w:hAnsi="Tahoma" w:cs="Tahoma"/>
          <w:sz w:val="18"/>
          <w:szCs w:val="18"/>
        </w:rPr>
      </w:pPr>
      <w:bookmarkStart w:id="11" w:name="P267"/>
      <w:bookmarkEnd w:id="11"/>
      <w:r w:rsidRPr="00EF03D4">
        <w:rPr>
          <w:rFonts w:ascii="Tahoma" w:hAnsi="Tahoma" w:cs="Tahoma"/>
          <w:sz w:val="18"/>
          <w:szCs w:val="18"/>
        </w:rPr>
        <w:t>56. 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https://www.cbr.ru/currency_base/daily/.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EF03D4" w:rsidRPr="00EF03D4" w:rsidRDefault="00EF03D4">
      <w:pPr>
        <w:pStyle w:val="ConsPlusNormal"/>
        <w:jc w:val="both"/>
        <w:rPr>
          <w:rFonts w:ascii="Tahoma" w:hAnsi="Tahoma" w:cs="Tahoma"/>
          <w:sz w:val="18"/>
          <w:szCs w:val="18"/>
        </w:rPr>
      </w:pPr>
    </w:p>
    <w:p w:rsidR="00EF03D4" w:rsidRPr="00EF03D4" w:rsidRDefault="00EF03D4">
      <w:pPr>
        <w:pStyle w:val="ConsPlusTitle"/>
        <w:jc w:val="center"/>
        <w:outlineLvl w:val="1"/>
        <w:rPr>
          <w:rFonts w:ascii="Tahoma" w:hAnsi="Tahoma" w:cs="Tahoma"/>
          <w:sz w:val="18"/>
          <w:szCs w:val="18"/>
        </w:rPr>
      </w:pPr>
      <w:r w:rsidRPr="00EF03D4">
        <w:rPr>
          <w:rFonts w:ascii="Tahoma" w:hAnsi="Tahoma" w:cs="Tahoma"/>
          <w:sz w:val="18"/>
          <w:szCs w:val="18"/>
        </w:rPr>
        <w:t>ТИТУЛЬНЫЙ ЛИСТ</w:t>
      </w:r>
    </w:p>
    <w:p w:rsidR="00EF03D4" w:rsidRPr="00EF03D4" w:rsidRDefault="00EF03D4">
      <w:pPr>
        <w:pStyle w:val="ConsPlusNormal"/>
        <w:jc w:val="both"/>
        <w:rPr>
          <w:rFonts w:ascii="Tahoma" w:hAnsi="Tahoma" w:cs="Tahoma"/>
          <w:sz w:val="18"/>
          <w:szCs w:val="18"/>
        </w:rPr>
      </w:pPr>
    </w:p>
    <w:p w:rsidR="00EF03D4" w:rsidRPr="00EF03D4" w:rsidRDefault="00EF03D4">
      <w:pPr>
        <w:pStyle w:val="ConsPlusNormal"/>
        <w:ind w:firstLine="540"/>
        <w:jc w:val="both"/>
        <w:rPr>
          <w:rFonts w:ascii="Tahoma" w:hAnsi="Tahoma" w:cs="Tahoma"/>
          <w:sz w:val="18"/>
          <w:szCs w:val="18"/>
        </w:rPr>
      </w:pPr>
      <w:r w:rsidRPr="00EF03D4">
        <w:rPr>
          <w:rFonts w:ascii="Tahoma" w:hAnsi="Tahoma" w:cs="Tahoma"/>
          <w:sz w:val="18"/>
          <w:szCs w:val="18"/>
        </w:rPr>
        <w:t>57. При заполнении титульного листа справки рекомендуется обратить внимание на следующее: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справки (реквизиты удостоверяющего личность документа указываются по состоянию на дату подписания). Серия свидетельства о рождении указывается по формату: римские цифры - в латинской раскладке клавиатуры, русские буквы - в русской;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дата рождения (год рождения) указывается в соответствии с записью в документе, удостоверяющем личность;</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страховой номер индивидуального лицевого счета (СНИЛС) указывается при наличии. При этом в соответствии с Федеральным законом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"род занятий" указывается: "временно неработающий".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или "находится на домашнем воспитании".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При представлении Сведений в отношении супруга (супруги) и несовершеннолетних детей, не </w:t>
      </w:r>
      <w:r w:rsidRPr="00EF03D4">
        <w:rPr>
          <w:rFonts w:ascii="Tahoma" w:hAnsi="Tahoma" w:cs="Tahoma"/>
          <w:sz w:val="18"/>
          <w:szCs w:val="18"/>
        </w:rPr>
        <w:lastRenderedPageBreak/>
        <w:t>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графе "род занятий" рекомендуется указывать "временно неработающий" или "домохозяйка" ("домохозяин").</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Супругу (супруге) и несовершеннолетним детям, осуществляющим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 при наличии на дату подписания справки нескольких мест работы на титульном листе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 адрес места регистрации указывается по состоянию на дату подписания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22 настоящих Методических рекомендаций).</w:t>
      </w:r>
    </w:p>
    <w:p w:rsidR="00EF03D4" w:rsidRPr="00EF03D4" w:rsidRDefault="00EF03D4">
      <w:pPr>
        <w:pStyle w:val="ConsPlusNormal"/>
        <w:jc w:val="both"/>
        <w:rPr>
          <w:rFonts w:ascii="Tahoma" w:hAnsi="Tahoma" w:cs="Tahoma"/>
          <w:sz w:val="18"/>
          <w:szCs w:val="18"/>
        </w:rPr>
      </w:pPr>
    </w:p>
    <w:p w:rsidR="00EF03D4" w:rsidRPr="00EF03D4" w:rsidRDefault="00EF03D4">
      <w:pPr>
        <w:pStyle w:val="ConsPlusTitle"/>
        <w:jc w:val="center"/>
        <w:outlineLvl w:val="1"/>
        <w:rPr>
          <w:rFonts w:ascii="Tahoma" w:hAnsi="Tahoma" w:cs="Tahoma"/>
          <w:sz w:val="18"/>
          <w:szCs w:val="18"/>
        </w:rPr>
      </w:pPr>
      <w:r w:rsidRPr="00EF03D4">
        <w:rPr>
          <w:rFonts w:ascii="Tahoma" w:hAnsi="Tahoma" w:cs="Tahoma"/>
          <w:sz w:val="18"/>
          <w:szCs w:val="18"/>
        </w:rPr>
        <w:t>РАЗДЕЛ 1. СВЕДЕНИЯ О ДОХОДАХ</w:t>
      </w:r>
    </w:p>
    <w:p w:rsidR="00EF03D4" w:rsidRPr="00EF03D4" w:rsidRDefault="00EF03D4">
      <w:pPr>
        <w:pStyle w:val="ConsPlusNormal"/>
        <w:jc w:val="both"/>
        <w:rPr>
          <w:rFonts w:ascii="Tahoma" w:hAnsi="Tahoma" w:cs="Tahoma"/>
          <w:sz w:val="18"/>
          <w:szCs w:val="18"/>
        </w:rPr>
      </w:pPr>
    </w:p>
    <w:p w:rsidR="00EF03D4" w:rsidRPr="00EF03D4" w:rsidRDefault="00EF03D4">
      <w:pPr>
        <w:pStyle w:val="ConsPlusNormal"/>
        <w:ind w:firstLine="540"/>
        <w:jc w:val="both"/>
        <w:rPr>
          <w:rFonts w:ascii="Tahoma" w:hAnsi="Tahoma" w:cs="Tahoma"/>
          <w:sz w:val="18"/>
          <w:szCs w:val="18"/>
        </w:rPr>
      </w:pPr>
      <w:r w:rsidRPr="00EF03D4">
        <w:rPr>
          <w:rFonts w:ascii="Tahoma" w:hAnsi="Tahoma" w:cs="Tahoma"/>
          <w:sz w:val="18"/>
          <w:szCs w:val="18"/>
        </w:rPr>
        <w:t>58. 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59. 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Доход по основному месту работы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60. В данной строке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строке указывается доход, полученный им в том органе (организации), в котором он замещал должность на дату подписания справки. Указанию подлежит общая сумма дохода, содержащаяся в Справке о доходах и суммах налога физического лица, выдаваемой по месту службы (работы) </w:t>
      </w:r>
      <w:r w:rsidRPr="00EF03D4">
        <w:rPr>
          <w:rFonts w:ascii="Tahoma" w:hAnsi="Tahoma" w:cs="Tahoma"/>
          <w:sz w:val="18"/>
          <w:szCs w:val="18"/>
        </w:rPr>
        <w:lastRenderedPageBreak/>
        <w:t>(графа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"Иные доходы".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3"/>
        <w:rPr>
          <w:rFonts w:ascii="Tahoma" w:hAnsi="Tahoma" w:cs="Tahoma"/>
          <w:sz w:val="18"/>
          <w:szCs w:val="18"/>
        </w:rPr>
      </w:pPr>
      <w:r w:rsidRPr="00EF03D4">
        <w:rPr>
          <w:rFonts w:ascii="Tahoma" w:hAnsi="Tahoma" w:cs="Tahoma"/>
          <w:sz w:val="18"/>
          <w:szCs w:val="18"/>
        </w:rPr>
        <w:t>Особенности заполнения данной графы отдельными категориями лиц</w:t>
      </w:r>
    </w:p>
    <w:p w:rsidR="00EF03D4" w:rsidRPr="00EF03D4" w:rsidRDefault="00EF03D4">
      <w:pPr>
        <w:pStyle w:val="ConsPlusNormal"/>
        <w:spacing w:before="220"/>
        <w:ind w:firstLine="540"/>
        <w:jc w:val="both"/>
        <w:rPr>
          <w:rFonts w:ascii="Tahoma" w:hAnsi="Tahoma" w:cs="Tahoma"/>
          <w:sz w:val="18"/>
          <w:szCs w:val="18"/>
        </w:rPr>
      </w:pPr>
      <w:bookmarkStart w:id="12" w:name="P299"/>
      <w:bookmarkEnd w:id="12"/>
      <w:r w:rsidRPr="00EF03D4">
        <w:rPr>
          <w:rFonts w:ascii="Tahoma" w:hAnsi="Tahoma" w:cs="Tahoma"/>
          <w:sz w:val="18"/>
          <w:szCs w:val="18"/>
        </w:rPr>
        <w:t>62.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63. При заполнении данного раздела лицом, замещающим государственную (муниципальную) должность на непостоянной основе, указывается доход по основному месту работы.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64.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65.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N 28-6/10/В-4623 (https://mintrud.gov.ru/docs/1872).</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Доход от педагогической и научной деятельности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66. 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67. 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"Доход по основному месту работы", а не в строке "Доход от педагогической и научной деятельности".</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Доход от иной творческой деятельности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68. 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69. Подлежат указанию в строках "Доход от педагогической и научной деятельности" и "Доход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Доход от вкладов в банках и иных кредитных организациях</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70. 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71. Сведения о наличии соответствующих банковских счетов и вкладов указываются в разделе 4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72. Доход, полученный в иностранной валюте, указывается в рублях по курсу Банка России на дату получения дохода (с учетом положений пункта 56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73.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74.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пункта 56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N 5798-У (за исключением случаев, указанных в пункте 77 и подпункте 15 пункта 86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76. 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F03D4" w:rsidRPr="00EF03D4" w:rsidRDefault="00EF03D4">
      <w:pPr>
        <w:pStyle w:val="ConsPlusNormal"/>
        <w:spacing w:before="220"/>
        <w:ind w:firstLine="540"/>
        <w:jc w:val="both"/>
        <w:rPr>
          <w:rFonts w:ascii="Tahoma" w:hAnsi="Tahoma" w:cs="Tahoma"/>
          <w:sz w:val="18"/>
          <w:szCs w:val="18"/>
        </w:rPr>
      </w:pPr>
      <w:bookmarkStart w:id="13" w:name="P325"/>
      <w:bookmarkEnd w:id="13"/>
      <w:r w:rsidRPr="00EF03D4">
        <w:rPr>
          <w:rFonts w:ascii="Tahoma" w:hAnsi="Tahoma" w:cs="Tahoma"/>
          <w:sz w:val="18"/>
          <w:szCs w:val="18"/>
        </w:rPr>
        <w:t>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Указания Банка России N 5798-У, такие сведения не отражаются в справке.</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Доход от ценных бумаг и долей участия в коммерческих организациях</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78. 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w:t>
      </w:r>
      <w:r w:rsidRPr="00EF03D4">
        <w:rPr>
          <w:rFonts w:ascii="Tahoma" w:hAnsi="Tahoma" w:cs="Tahoma"/>
          <w:sz w:val="18"/>
          <w:szCs w:val="18"/>
        </w:rPr>
        <w:lastRenderedPageBreak/>
        <w:t>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дисконт, полученный в качестве дохода по облигациям;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Иные доходы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79. В данной строке указываются выплаченные в отчетном периоде доходы, которые не были отражены в вышеуказанных строках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Так, например, в строке "Иные доходы" могут быть указаны: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государственная и негосударственная пенсии (при этом разные виды пенсий (по возрасту и пенсия военнослужащего) не следует суммировать);</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 и др.), если данные выплаты не были включены в Справку о доходах и суммах налога физического лица, выдаваемую по месту службы (работы).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N 255-ФЗ "Об обязательном социальном страховании на случай временной нетрудоспособности и в связи с материнством").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 суммы, причитающиеся ребенку в качестве алиментов (за исключением алиментов, выплачиваемых в браке, кроме случая, предусмотренного пунктом 41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"Иные доходы", а сведения о счете - в разделе 4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6) стипендия;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пунктом 41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Аналогично в отношении продажи имущества, находящегося в совместной собственности;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10) 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11) доходы по трудовым договорам по совместительству. При этом рекомендуется указать наименование и адрес места нахождения организации, от которой был получен доход;</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12) 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13) вознаграждения по гражданско-правовым договорам, если данный доход не указан в иных строках настоящего раздела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15) проценты по долговым обязательствам;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16) денежные средства, полученные в порядке дарения или наследования. При этом рекомендуется указать фамилию, имя и отчество соответствующего дарителя или наследодателя соответственно;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17) возмещение вреда, причиненного увечьем или иным повреждением здоровья;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18) выплаты, связанные с гибелью (смертью), выплаченные наследникам;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19) 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217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строке "Доход по основному месту работы";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25) 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27) выплаты членам профсоюзных организаций, полученные от данных профсоюзных организаций;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28)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"Доход от педагогической и научной деятельности", результаты иной творческой деятельности - в строке "Доход от иной творческой деятельности";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29) вознаграждение, полученное при осуществлении опеки или попечительства на возмездной основе;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30) доход, полученный индивидуальным предпринимателем (указывается согласно бухгалтерской (финансовой) отчетности или в соответствии с пунктом 62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31) денежные выплаты, полученные при награждении почетными грамотами и наградами федеральных </w:t>
      </w:r>
      <w:r w:rsidRPr="00EF03D4">
        <w:rPr>
          <w:rFonts w:ascii="Tahoma" w:hAnsi="Tahoma" w:cs="Tahoma"/>
          <w:sz w:val="18"/>
          <w:szCs w:val="18"/>
        </w:rPr>
        <w:lastRenderedPageBreak/>
        <w:t>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32) денежные средства, полученные в качестве оплаты услуг или товаров, в том числе в качестве авансового платежа;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34) денежные средства, полученные от родственников (за исключением супруги (супруга) и несовершеннолетних детей кроме случая, предусмотренного пунктом 41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35) доход, полученный по договорам переуступки прав требования на строящиеся объекты недвижимости;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37) выплаченная ликвидационная стоимость ценных бумаг при ликвидации коммерческой организации;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40) иные аналогичные выплаты.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80. 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81. Доход, полученный в иностранной валюте, указывается в рублях по курсу Банка России на дату получения дохода (с учетом положений пункта 56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56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82. 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83. 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84. С учетом целей антикоррупционного законодательства в строке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со служебными командировками за счет средств работодателя;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 с приобретением проездных документов для исполнения служебных (должностных) обязанностей;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 с оплатой коммунальных и иных услуг, наймом жилого помещения;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 с внесением родительской платы за посещение дошкольного образовательного учреждения;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 с оформлением нотариальной доверенности, почтовыми расходами, расходами на оплату услуг представителя (возмещаются по решению суда).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86. Также не указываются сведения о денежных средствах, полученных:</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в виде социального, имущественного, инвестиционного налогового вычета;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от продажи различного вида подарочных сертификатов (карт), выпущенных предприятиями торговли, салонами красоты и пр.;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("кешбэк сервис"), включая т.н. "туристический кешбэк", "детский кешбэк" и др.;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 в качестве возврата налога на добавленную стоимость, уплаченного при совершении покупок за границей, по чекам Tax-free;</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 в качестве вознаграждения донорам за сданную кровь, ее компонентов (и иную помощь);</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 в качестве возмещения расходов на повышение профессионального уровня за счет средств представителя нанимателя (работодателя);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11) в связи с возвратом денежных средств по несостоявшемуся договору купли-продажи;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12) в качестве возврата займа, денежных средств за купленные товары, а также в качестве возврата </w:t>
      </w:r>
      <w:r w:rsidRPr="00EF03D4">
        <w:rPr>
          <w:rFonts w:ascii="Tahoma" w:hAnsi="Tahoma" w:cs="Tahoma"/>
          <w:sz w:val="18"/>
          <w:szCs w:val="18"/>
        </w:rPr>
        <w:lastRenderedPageBreak/>
        <w:t>денежных средств за оплаченные за третьих лиц товары, работы и услуги, если факт такой оплаты может быть подтвержден;</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14) на специальный избирательный счет в соответствии с Федеральным законом от 12 июня 2002 г. N 67-ФЗ "Об основных гарантиях избирательных прав и права на участие в референдуме граждан Российской Федерации";</w:t>
      </w:r>
    </w:p>
    <w:p w:rsidR="00EF03D4" w:rsidRPr="00EF03D4" w:rsidRDefault="00EF03D4">
      <w:pPr>
        <w:pStyle w:val="ConsPlusNormal"/>
        <w:spacing w:before="220"/>
        <w:ind w:firstLine="540"/>
        <w:jc w:val="both"/>
        <w:rPr>
          <w:rFonts w:ascii="Tahoma" w:hAnsi="Tahoma" w:cs="Tahoma"/>
          <w:sz w:val="18"/>
          <w:szCs w:val="18"/>
        </w:rPr>
      </w:pPr>
      <w:bookmarkStart w:id="14" w:name="P416"/>
      <w:bookmarkEnd w:id="14"/>
      <w:r w:rsidRPr="00EF03D4">
        <w:rPr>
          <w:rFonts w:ascii="Tahoma" w:hAnsi="Tahoma" w:cs="Tahoma"/>
          <w:sz w:val="18"/>
          <w:szCs w:val="18"/>
        </w:rP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N 5798-У).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87. Социальная поддержка молодежи в возрасте от 14 до 22 лет для повышения доступности организаций культуры (т.н. "Пушкинская карта") не подлежит отражению в разделе 1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88.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EF03D4" w:rsidRPr="00EF03D4" w:rsidRDefault="00EF03D4">
      <w:pPr>
        <w:pStyle w:val="ConsPlusNormal"/>
        <w:jc w:val="both"/>
        <w:rPr>
          <w:rFonts w:ascii="Tahoma" w:hAnsi="Tahoma" w:cs="Tahoma"/>
          <w:sz w:val="18"/>
          <w:szCs w:val="18"/>
        </w:rPr>
      </w:pPr>
    </w:p>
    <w:p w:rsidR="00EF03D4" w:rsidRPr="00EF03D4" w:rsidRDefault="00EF03D4">
      <w:pPr>
        <w:pStyle w:val="ConsPlusTitle"/>
        <w:jc w:val="center"/>
        <w:outlineLvl w:val="1"/>
        <w:rPr>
          <w:rFonts w:ascii="Tahoma" w:hAnsi="Tahoma" w:cs="Tahoma"/>
          <w:sz w:val="18"/>
          <w:szCs w:val="18"/>
        </w:rPr>
      </w:pPr>
      <w:r w:rsidRPr="00EF03D4">
        <w:rPr>
          <w:rFonts w:ascii="Tahoma" w:hAnsi="Tahoma" w:cs="Tahoma"/>
          <w:sz w:val="18"/>
          <w:szCs w:val="18"/>
        </w:rPr>
        <w:t>РАЗДЕЛ 2. СВЕДЕНИЯ О РАСХОДАХ</w:t>
      </w:r>
    </w:p>
    <w:p w:rsidR="00EF03D4" w:rsidRPr="00EF03D4" w:rsidRDefault="00EF03D4">
      <w:pPr>
        <w:pStyle w:val="ConsPlusNormal"/>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Основные положения</w:t>
      </w:r>
    </w:p>
    <w:p w:rsidR="00EF03D4" w:rsidRPr="00EF03D4" w:rsidRDefault="00EF03D4">
      <w:pPr>
        <w:pStyle w:val="ConsPlusNormal"/>
        <w:spacing w:before="220"/>
        <w:ind w:firstLine="540"/>
        <w:jc w:val="both"/>
        <w:rPr>
          <w:rFonts w:ascii="Tahoma" w:hAnsi="Tahoma" w:cs="Tahoma"/>
          <w:sz w:val="18"/>
          <w:szCs w:val="18"/>
        </w:rPr>
      </w:pPr>
      <w:bookmarkStart w:id="15" w:name="P424"/>
      <w:bookmarkEnd w:id="15"/>
      <w:r w:rsidRPr="00EF03D4">
        <w:rPr>
          <w:rFonts w:ascii="Tahoma" w:hAnsi="Tahoma" w:cs="Tahoma"/>
          <w:sz w:val="18"/>
          <w:szCs w:val="18"/>
        </w:rPr>
        <w:t>89. Сведения о расходах представляются при наличии оснований, предусмотренных Федеральным законом от 3 декабря 2012 г. N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раздела 2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90. 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в пункте 89 настоящих Методических рекомендаций, также представляются сведения о расходах.</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91. Не предусмотрено в данном разделе справки отражение информации об оплате неотделимых улучшений объекта недвижимости.</w:t>
      </w:r>
    </w:p>
    <w:p w:rsidR="00EF03D4" w:rsidRPr="00EF03D4" w:rsidRDefault="00EF03D4">
      <w:pPr>
        <w:pStyle w:val="ConsPlusNormal"/>
        <w:spacing w:before="220"/>
        <w:ind w:firstLine="540"/>
        <w:jc w:val="both"/>
        <w:rPr>
          <w:rFonts w:ascii="Tahoma" w:hAnsi="Tahoma" w:cs="Tahoma"/>
          <w:sz w:val="18"/>
          <w:szCs w:val="18"/>
        </w:rPr>
      </w:pPr>
      <w:bookmarkStart w:id="16" w:name="P428"/>
      <w:bookmarkEnd w:id="16"/>
      <w:r w:rsidRPr="00EF03D4">
        <w:rPr>
          <w:rFonts w:ascii="Tahoma" w:hAnsi="Tahoma" w:cs="Tahoma"/>
          <w:sz w:val="18"/>
          <w:szCs w:val="18"/>
        </w:rPr>
        <w:t>92. Представление сведений о расходах при отсутствии указанных в пункте 89 настоящих Методических рекомендаций оснований не является нарушением.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93. 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94. Для цели реализации пункта 89 настоящих Методических рекомендаций при расчете общего дохода </w:t>
      </w:r>
      <w:r w:rsidRPr="00EF03D4">
        <w:rPr>
          <w:rFonts w:ascii="Tahoma" w:hAnsi="Tahoma" w:cs="Tahoma"/>
          <w:sz w:val="18"/>
          <w:szCs w:val="18"/>
        </w:rPr>
        <w:lastRenderedPageBreak/>
        <w:t>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Также учету подлежат доходы ребенка, полученные им в соответствующий трехлетний период и до достижения совершеннолетия.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95. 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разделе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96. 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 за три последних года, предшествующих совершению сделки).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97. Сведения о расходах не представляются в следующих случаях:</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N 230-ФЗ "О контроле за соответствием расходов лиц, замещающих государственные должности, и иных лиц их доходам");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Вид приобретенного имущества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98. При заполнении графы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Сумма сделки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99. В графе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Источник получения средств, за счет которых приобретено имущество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100. При заполнении графы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w:t>
      </w:r>
      <w:r w:rsidRPr="00EF03D4">
        <w:rPr>
          <w:rFonts w:ascii="Tahoma" w:hAnsi="Tahoma" w:cs="Tahoma"/>
          <w:sz w:val="18"/>
          <w:szCs w:val="18"/>
        </w:rPr>
        <w:lastRenderedPageBreak/>
        <w:t>источников.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101.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102.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Основания приобретения имущества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103. В графе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Особенности представления сведений о расходах</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104. Особенности представления сведений о расходах:</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приобретение недвижимого имущества посредством участия в долевом строительстве. Сведения об объекте долевого строительства, в отношении которого заключен договор участия в долевом строительстве (в том числе с использованием счета эскроу),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 Копия договора прилагается к справке.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подразделе 3.1 раздела 3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3) приобретение ценных бумаг. Одной (каждой) сделкой купли-продажи ценных бумаг следует считать </w:t>
      </w:r>
      <w:r w:rsidRPr="00EF03D4">
        <w:rPr>
          <w:rFonts w:ascii="Tahoma" w:hAnsi="Tahoma" w:cs="Tahoma"/>
          <w:sz w:val="18"/>
          <w:szCs w:val="18"/>
        </w:rPr>
        <w:lastRenderedPageBreak/>
        <w:t>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EF03D4" w:rsidRPr="00EF03D4" w:rsidRDefault="00EF03D4">
      <w:pPr>
        <w:pStyle w:val="ConsPlusNormal"/>
        <w:jc w:val="both"/>
        <w:rPr>
          <w:rFonts w:ascii="Tahoma" w:hAnsi="Tahoma" w:cs="Tahoma"/>
          <w:sz w:val="18"/>
          <w:szCs w:val="18"/>
        </w:rPr>
      </w:pPr>
    </w:p>
    <w:p w:rsidR="00EF03D4" w:rsidRPr="00EF03D4" w:rsidRDefault="00EF03D4">
      <w:pPr>
        <w:pStyle w:val="ConsPlusTitle"/>
        <w:jc w:val="center"/>
        <w:outlineLvl w:val="1"/>
        <w:rPr>
          <w:rFonts w:ascii="Tahoma" w:hAnsi="Tahoma" w:cs="Tahoma"/>
          <w:sz w:val="18"/>
          <w:szCs w:val="18"/>
        </w:rPr>
      </w:pPr>
      <w:r w:rsidRPr="00EF03D4">
        <w:rPr>
          <w:rFonts w:ascii="Tahoma" w:hAnsi="Tahoma" w:cs="Tahoma"/>
          <w:sz w:val="18"/>
          <w:szCs w:val="18"/>
        </w:rPr>
        <w:t>РАЗДЕЛ 3. СВЕДЕНИЯ ОБ ИМУЩЕСТВЕ</w:t>
      </w:r>
    </w:p>
    <w:p w:rsidR="00EF03D4" w:rsidRPr="00EF03D4" w:rsidRDefault="00EF03D4">
      <w:pPr>
        <w:pStyle w:val="ConsPlusNormal"/>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Подраздел 3.1 Недвижимое имущество</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3"/>
        <w:rPr>
          <w:rFonts w:ascii="Tahoma" w:hAnsi="Tahoma" w:cs="Tahoma"/>
          <w:sz w:val="18"/>
          <w:szCs w:val="18"/>
        </w:rPr>
      </w:pPr>
      <w:r w:rsidRPr="00EF03D4">
        <w:rPr>
          <w:rFonts w:ascii="Tahoma" w:hAnsi="Tahoma" w:cs="Tahoma"/>
          <w:sz w:val="18"/>
          <w:szCs w:val="18"/>
        </w:rPr>
        <w:t>Основные положения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105. 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106. 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Также в данном подразделе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124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107.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N 218-ФЗ "О государственной регистрации недвижимости").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124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108. 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109. 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110.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3"/>
        <w:rPr>
          <w:rFonts w:ascii="Tahoma" w:hAnsi="Tahoma" w:cs="Tahoma"/>
          <w:sz w:val="18"/>
          <w:szCs w:val="18"/>
        </w:rPr>
      </w:pPr>
      <w:r w:rsidRPr="00EF03D4">
        <w:rPr>
          <w:rFonts w:ascii="Tahoma" w:hAnsi="Tahoma" w:cs="Tahoma"/>
          <w:sz w:val="18"/>
          <w:szCs w:val="18"/>
        </w:rPr>
        <w:t>Вид и наименование имущества</w:t>
      </w:r>
    </w:p>
    <w:p w:rsidR="00EF03D4" w:rsidRPr="00EF03D4" w:rsidRDefault="00EF03D4">
      <w:pPr>
        <w:pStyle w:val="ConsPlusNormal"/>
        <w:spacing w:before="220"/>
        <w:ind w:firstLine="540"/>
        <w:jc w:val="both"/>
        <w:rPr>
          <w:rFonts w:ascii="Tahoma" w:hAnsi="Tahoma" w:cs="Tahoma"/>
          <w:sz w:val="18"/>
          <w:szCs w:val="18"/>
        </w:rPr>
      </w:pPr>
      <w:bookmarkStart w:id="17" w:name="P483"/>
      <w:bookmarkEnd w:id="17"/>
      <w:r w:rsidRPr="00EF03D4">
        <w:rPr>
          <w:rFonts w:ascii="Tahoma" w:hAnsi="Tahoma" w:cs="Tahoma"/>
          <w:sz w:val="18"/>
          <w:szCs w:val="18"/>
        </w:rPr>
        <w:lastRenderedPageBreak/>
        <w:t>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законом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правом размещения садовых домов, жилых домов, хозяйственных построек и гаражей;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112. В соответствии со статьей 2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113.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114. При наличии в собственности жилого или садового дома,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115. В строке "Гаражи" указывается информация об организованных местах хранения автотранспорта - "гараж", "машино-место"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3"/>
        <w:rPr>
          <w:rFonts w:ascii="Tahoma" w:hAnsi="Tahoma" w:cs="Tahoma"/>
          <w:sz w:val="18"/>
          <w:szCs w:val="18"/>
        </w:rPr>
      </w:pPr>
      <w:r w:rsidRPr="00EF03D4">
        <w:rPr>
          <w:rFonts w:ascii="Tahoma" w:hAnsi="Tahoma" w:cs="Tahoma"/>
          <w:sz w:val="18"/>
          <w:szCs w:val="18"/>
        </w:rPr>
        <w:t>Вид собственности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116. В графе "Вид собственности" указывается вид собственности на имущество (индивидуальная, общая совместная, общая долевая).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117.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118.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3"/>
        <w:rPr>
          <w:rFonts w:ascii="Tahoma" w:hAnsi="Tahoma" w:cs="Tahoma"/>
          <w:sz w:val="18"/>
          <w:szCs w:val="18"/>
        </w:rPr>
      </w:pPr>
      <w:r w:rsidRPr="00EF03D4">
        <w:rPr>
          <w:rFonts w:ascii="Tahoma" w:hAnsi="Tahoma" w:cs="Tahoma"/>
          <w:sz w:val="18"/>
          <w:szCs w:val="18"/>
        </w:rPr>
        <w:t>Местонахождение (адрес)</w:t>
      </w:r>
    </w:p>
    <w:p w:rsidR="00EF03D4" w:rsidRPr="00EF03D4" w:rsidRDefault="00EF03D4">
      <w:pPr>
        <w:pStyle w:val="ConsPlusNormal"/>
        <w:spacing w:before="220"/>
        <w:ind w:firstLine="540"/>
        <w:jc w:val="both"/>
        <w:rPr>
          <w:rFonts w:ascii="Tahoma" w:hAnsi="Tahoma" w:cs="Tahoma"/>
          <w:sz w:val="18"/>
          <w:szCs w:val="18"/>
        </w:rPr>
      </w:pPr>
      <w:bookmarkStart w:id="18" w:name="P497"/>
      <w:bookmarkEnd w:id="18"/>
      <w:r w:rsidRPr="00EF03D4">
        <w:rPr>
          <w:rFonts w:ascii="Tahoma" w:hAnsi="Tahoma" w:cs="Tahoma"/>
          <w:sz w:val="18"/>
          <w:szCs w:val="18"/>
        </w:rPr>
        <w:t>119. Местонахождение (адрес) недвижимого имущества указывается согласно правоустанавливающим документам. При этом указывается: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1) субъект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район;</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город, иной населенный пункт (село, поселок и т.д.);</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улица (проспект, переулок и т.д.);</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 номер дома (владения, участка), корпуса (строения), квартиры.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Также рекомендуется указывать индекс.</w:t>
      </w:r>
    </w:p>
    <w:p w:rsidR="00EF03D4" w:rsidRPr="00EF03D4" w:rsidRDefault="00EF03D4">
      <w:pPr>
        <w:pStyle w:val="ConsPlusNormal"/>
        <w:spacing w:before="220"/>
        <w:ind w:firstLine="540"/>
        <w:jc w:val="both"/>
        <w:rPr>
          <w:rFonts w:ascii="Tahoma" w:hAnsi="Tahoma" w:cs="Tahoma"/>
          <w:sz w:val="18"/>
          <w:szCs w:val="18"/>
        </w:rPr>
      </w:pPr>
      <w:bookmarkStart w:id="19" w:name="P504"/>
      <w:bookmarkEnd w:id="19"/>
      <w:r w:rsidRPr="00EF03D4">
        <w:rPr>
          <w:rFonts w:ascii="Tahoma" w:hAnsi="Tahoma" w:cs="Tahoma"/>
          <w:sz w:val="18"/>
          <w:szCs w:val="18"/>
        </w:rPr>
        <w:t>120. Если недвижимое имущество находится за рубежом, то указывается: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наименование государства;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населенный пункт (иная единица административно-территориального деления);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почтовый адрес.</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3"/>
        <w:rPr>
          <w:rFonts w:ascii="Tahoma" w:hAnsi="Tahoma" w:cs="Tahoma"/>
          <w:sz w:val="18"/>
          <w:szCs w:val="18"/>
        </w:rPr>
      </w:pPr>
      <w:r w:rsidRPr="00EF03D4">
        <w:rPr>
          <w:rFonts w:ascii="Tahoma" w:hAnsi="Tahoma" w:cs="Tahoma"/>
          <w:sz w:val="18"/>
          <w:szCs w:val="18"/>
        </w:rPr>
        <w:t>Площадь</w:t>
      </w:r>
    </w:p>
    <w:p w:rsidR="00EF03D4" w:rsidRPr="00EF03D4" w:rsidRDefault="00EF03D4">
      <w:pPr>
        <w:pStyle w:val="ConsPlusNormal"/>
        <w:spacing w:before="220"/>
        <w:ind w:firstLine="540"/>
        <w:jc w:val="both"/>
        <w:rPr>
          <w:rFonts w:ascii="Tahoma" w:hAnsi="Tahoma" w:cs="Tahoma"/>
          <w:sz w:val="18"/>
          <w:szCs w:val="18"/>
        </w:rPr>
      </w:pPr>
      <w:bookmarkStart w:id="20" w:name="P510"/>
      <w:bookmarkEnd w:id="20"/>
      <w:r w:rsidRPr="00EF03D4">
        <w:rPr>
          <w:rFonts w:ascii="Tahoma" w:hAnsi="Tahoma" w:cs="Tahoma"/>
          <w:sz w:val="18"/>
          <w:szCs w:val="18"/>
        </w:rPr>
        <w:t>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122.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3"/>
        <w:rPr>
          <w:rFonts w:ascii="Tahoma" w:hAnsi="Tahoma" w:cs="Tahoma"/>
          <w:sz w:val="18"/>
          <w:szCs w:val="18"/>
        </w:rPr>
      </w:pPr>
      <w:r w:rsidRPr="00EF03D4">
        <w:rPr>
          <w:rFonts w:ascii="Tahoma" w:hAnsi="Tahoma" w:cs="Tahoma"/>
          <w:sz w:val="18"/>
          <w:szCs w:val="18"/>
        </w:rPr>
        <w:t>Основание приобретения и источники средств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123. 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(https://lk.rosreestr.ru/eservices/real-estate-objects-online).</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EF03D4" w:rsidRPr="00EF03D4" w:rsidRDefault="00EF03D4">
      <w:pPr>
        <w:pStyle w:val="ConsPlusNormal"/>
        <w:spacing w:before="220"/>
        <w:ind w:firstLine="540"/>
        <w:jc w:val="both"/>
        <w:rPr>
          <w:rFonts w:ascii="Tahoma" w:hAnsi="Tahoma" w:cs="Tahoma"/>
          <w:sz w:val="18"/>
          <w:szCs w:val="18"/>
        </w:rPr>
      </w:pPr>
      <w:bookmarkStart w:id="21" w:name="P518"/>
      <w:bookmarkEnd w:id="21"/>
      <w:r w:rsidRPr="00EF03D4">
        <w:rPr>
          <w:rFonts w:ascii="Tahoma" w:hAnsi="Tahoma" w:cs="Tahoma"/>
          <w:sz w:val="18"/>
          <w:szCs w:val="18"/>
        </w:rPr>
        <w:t>124. В случае если право на недвижимое имущество возникло до вступления в силу Федерального закона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N от 15.03.1995 N 1-345/95 о передаче недвижимого имущества в собственность и др.).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125.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N 77:02:0014017:1994-72/004/2025-2 от 27 марта 2025 г.; договор купли-продажи от 19 февраля 2025 г. или иное.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126.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127. 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части 1 статьи 2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на лиц, замещающих (занимающих):</w:t>
      </w:r>
    </w:p>
    <w:p w:rsidR="00EF03D4" w:rsidRPr="00EF03D4" w:rsidRDefault="00EF03D4">
      <w:pPr>
        <w:pStyle w:val="ConsPlusNormal"/>
        <w:spacing w:before="220"/>
        <w:ind w:firstLine="540"/>
        <w:jc w:val="both"/>
        <w:rPr>
          <w:rFonts w:ascii="Tahoma" w:hAnsi="Tahoma" w:cs="Tahoma"/>
          <w:sz w:val="18"/>
          <w:szCs w:val="18"/>
        </w:rPr>
      </w:pPr>
      <w:bookmarkStart w:id="22" w:name="P524"/>
      <w:bookmarkEnd w:id="22"/>
      <w:r w:rsidRPr="00EF03D4">
        <w:rPr>
          <w:rFonts w:ascii="Tahoma" w:hAnsi="Tahoma" w:cs="Tahoma"/>
          <w:sz w:val="18"/>
          <w:szCs w:val="18"/>
        </w:rPr>
        <w:t>государственные должности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должности первого заместителя и заместителей Генерального прокурора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должности членов Совета директоров Центрального банка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государственные должности субъектов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должности заместителей руководителей федеральных органов исполнительной власти;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F03D4" w:rsidRPr="00EF03D4" w:rsidRDefault="00EF03D4">
      <w:pPr>
        <w:pStyle w:val="ConsPlusNormal"/>
        <w:spacing w:before="220"/>
        <w:ind w:firstLine="540"/>
        <w:jc w:val="both"/>
        <w:rPr>
          <w:rFonts w:ascii="Tahoma" w:hAnsi="Tahoma" w:cs="Tahoma"/>
          <w:sz w:val="18"/>
          <w:szCs w:val="18"/>
        </w:rPr>
      </w:pPr>
      <w:bookmarkStart w:id="23" w:name="P532"/>
      <w:bookmarkEnd w:id="23"/>
      <w:r w:rsidRPr="00EF03D4">
        <w:rPr>
          <w:rFonts w:ascii="Tahoma" w:hAnsi="Tahoma" w:cs="Tahoma"/>
          <w:sz w:val="18"/>
          <w:szCs w:val="18"/>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на супруг (супругов), несовершеннолетних детей лиц, указанных в абзацах втором - десятом подпункта 1 настоящего пункта;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иных лиц в случаях, предусмотренных федеральными законами.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128.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Подраздел 3.2. Транспортные средства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129. 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Также в данном подразделе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130.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131.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132. 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133. 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N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подразделе 3.2 раздела 3 справки служащего (работника). При заполнении графы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"Шалинский", ОГИБДД ММО МВД России по Новолялинскому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Также допускается указание только кода подразделения ГИБДД в соответствии со свидетельством о регистрации транспортного средства.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случае отсутствия регистрации допускается указать "Отсутствует".</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134. Аналогичным подходом необходимо руководствоваться при указании в данном подразделе </w:t>
      </w:r>
      <w:r w:rsidRPr="00EF03D4">
        <w:rPr>
          <w:rFonts w:ascii="Tahoma" w:hAnsi="Tahoma" w:cs="Tahoma"/>
          <w:sz w:val="18"/>
          <w:szCs w:val="18"/>
        </w:rPr>
        <w:lastRenderedPageBreak/>
        <w:t>водного, воздушного транспорта.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135. В строке "Иные транспортные средства" подлежат указанию, в частности, прицепы, зарегистрированные в установленном порядке.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Подраздел 3.3. Цифровые финансовые активы, цифровые права, включающие одновременно цифровые финансовые активы и иные цифровые права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136. 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137. В соответствии со статьей 1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138. 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139. В графе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140. В графе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141. В графе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142. В графе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Подраздел 3.4. Утилитарные цифровые права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144. Частью 1 статьи 8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w:t>
      </w:r>
      <w:r w:rsidRPr="00EF03D4">
        <w:rPr>
          <w:rFonts w:ascii="Tahoma" w:hAnsi="Tahoma" w:cs="Tahoma"/>
          <w:sz w:val="18"/>
          <w:szCs w:val="18"/>
        </w:rPr>
        <w:lastRenderedPageBreak/>
        <w:t>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право требовать передачи вещи (вещей) (например, право требования золота в слитках при инвестировании в добычу золота);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145. 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146. 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147. В графе "Уникальное условное обозначение" указывается уникальное условное обозначение, идентифицирующее утилитарное цифровое право.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148. В графе "Дата приобретения" указывается дата приобретения утилитарного цифрового права.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149. В графе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пункта 56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Под инвестициями в соответствии с пунктом 2 части 1 статьи 2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150. В графе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Реестр операторов инвестиционных платформ размещен на официальном сайте Банка России по ссылке: https://cbr.ru/admissionfinmarket/navigator/oip/.</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Подраздел 3.5. Цифровая валюта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151. В соответствии со статьей 1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153. Примерами цифровой валюты являются: Биткоин (BTC), Эфириум (ETH) и др.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154. 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155. В графе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156. В графе "Дата приобретения" указывается дата приобретения цифровой валюты.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отношении цифровой валюты, полученной в результате осуществления майнинга или участия в майнинг-пуле, в графе "Дата приобретения" указывается дата получения цифровой валюты лицом, осуществляющим майнинг цифровой валюты (в том числе участником майнинг-пула).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157. В графе "Общее количество" указывается точное количество цифровой валюты, находящейся в собственности (без округления).</w:t>
      </w:r>
    </w:p>
    <w:p w:rsidR="00EF03D4" w:rsidRPr="00EF03D4" w:rsidRDefault="00EF03D4">
      <w:pPr>
        <w:pStyle w:val="ConsPlusNormal"/>
        <w:jc w:val="both"/>
        <w:rPr>
          <w:rFonts w:ascii="Tahoma" w:hAnsi="Tahoma" w:cs="Tahoma"/>
          <w:sz w:val="18"/>
          <w:szCs w:val="18"/>
        </w:rPr>
      </w:pPr>
    </w:p>
    <w:p w:rsidR="00EF03D4" w:rsidRPr="00EF03D4" w:rsidRDefault="00EF03D4">
      <w:pPr>
        <w:pStyle w:val="ConsPlusTitle"/>
        <w:jc w:val="center"/>
        <w:outlineLvl w:val="1"/>
        <w:rPr>
          <w:rFonts w:ascii="Tahoma" w:hAnsi="Tahoma" w:cs="Tahoma"/>
          <w:sz w:val="18"/>
          <w:szCs w:val="18"/>
        </w:rPr>
      </w:pPr>
      <w:r w:rsidRPr="00EF03D4">
        <w:rPr>
          <w:rFonts w:ascii="Tahoma" w:hAnsi="Tahoma" w:cs="Tahoma"/>
          <w:sz w:val="18"/>
          <w:szCs w:val="18"/>
        </w:rPr>
        <w:t>РАЗДЕЛ 4. СВЕДЕНИЯ О СЧЕТАХ В БАНКАХ И ИНЫХ</w:t>
      </w:r>
    </w:p>
    <w:p w:rsidR="00EF03D4" w:rsidRPr="00EF03D4" w:rsidRDefault="00EF03D4">
      <w:pPr>
        <w:pStyle w:val="ConsPlusTitle"/>
        <w:jc w:val="center"/>
        <w:rPr>
          <w:rFonts w:ascii="Tahoma" w:hAnsi="Tahoma" w:cs="Tahoma"/>
          <w:sz w:val="18"/>
          <w:szCs w:val="18"/>
        </w:rPr>
      </w:pPr>
      <w:r w:rsidRPr="00EF03D4">
        <w:rPr>
          <w:rFonts w:ascii="Tahoma" w:hAnsi="Tahoma" w:cs="Tahoma"/>
          <w:sz w:val="18"/>
          <w:szCs w:val="18"/>
        </w:rPr>
        <w:t>КРЕДИТНЫХ ОРГАНИЗАЦИЯХ</w:t>
      </w:r>
    </w:p>
    <w:p w:rsidR="00EF03D4" w:rsidRPr="00EF03D4" w:rsidRDefault="00EF03D4">
      <w:pPr>
        <w:pStyle w:val="ConsPlusNormal"/>
        <w:jc w:val="both"/>
        <w:rPr>
          <w:rFonts w:ascii="Tahoma" w:hAnsi="Tahoma" w:cs="Tahoma"/>
          <w:sz w:val="18"/>
          <w:szCs w:val="18"/>
        </w:rPr>
      </w:pPr>
    </w:p>
    <w:p w:rsidR="00EF03D4" w:rsidRPr="00EF03D4" w:rsidRDefault="00EF03D4">
      <w:pPr>
        <w:pStyle w:val="ConsPlusNormal"/>
        <w:ind w:firstLine="540"/>
        <w:jc w:val="both"/>
        <w:rPr>
          <w:rFonts w:ascii="Tahoma" w:hAnsi="Tahoma" w:cs="Tahoma"/>
          <w:sz w:val="18"/>
          <w:szCs w:val="18"/>
        </w:rPr>
      </w:pPr>
      <w:r w:rsidRPr="00EF03D4">
        <w:rPr>
          <w:rFonts w:ascii="Tahoma" w:hAnsi="Tahoma" w:cs="Tahoma"/>
          <w:sz w:val="18"/>
          <w:szCs w:val="18"/>
        </w:rPr>
        <w:t>158. 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Информация о счетах, закрытых по состоянию на отчетную дату, не подлежит отражению в справке.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Карта может быть не привязана к счету, например, при открытии "Пушкинской карты" и др.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EF03D4" w:rsidRPr="00EF03D4" w:rsidRDefault="00EF03D4">
      <w:pPr>
        <w:pStyle w:val="ConsPlusNormal"/>
        <w:spacing w:before="220"/>
        <w:ind w:firstLine="540"/>
        <w:jc w:val="both"/>
        <w:rPr>
          <w:rFonts w:ascii="Tahoma" w:hAnsi="Tahoma" w:cs="Tahoma"/>
          <w:sz w:val="18"/>
          <w:szCs w:val="18"/>
        </w:rPr>
      </w:pPr>
      <w:bookmarkStart w:id="24" w:name="P594"/>
      <w:bookmarkEnd w:id="24"/>
      <w:r w:rsidRPr="00EF03D4">
        <w:rPr>
          <w:rFonts w:ascii="Tahoma" w:hAnsi="Tahoma" w:cs="Tahoma"/>
          <w:sz w:val="18"/>
          <w:szCs w:val="18"/>
        </w:rPr>
        <w:t>159.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счета с нулевым остатком по состоянию на отчетную дату;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счета (вклады) в иностранных банках, расположенных за пределами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N 79-ФЗ;</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счета, открытые для погашения кредита;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 вклады (счета) в драгоценных металлах (в том числе указывается вид счета и металл, в котором он открыт);</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 номинальный счет;</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 счет эскроу;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9) счет цифрового рубля.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Сведения об учетных ценах на аффинированные драгоценные металлы, устанавливаемых Банком России, размещены на его официальном сайте: https://www.cbr.ru/hd_base/metall/metall_base_new/.</w:t>
      </w:r>
    </w:p>
    <w:p w:rsidR="00EF03D4" w:rsidRPr="00EF03D4" w:rsidRDefault="00EF03D4">
      <w:pPr>
        <w:pStyle w:val="ConsPlusNormal"/>
        <w:spacing w:before="220"/>
        <w:ind w:firstLine="540"/>
        <w:jc w:val="both"/>
        <w:rPr>
          <w:rFonts w:ascii="Tahoma" w:hAnsi="Tahoma" w:cs="Tahoma"/>
          <w:sz w:val="18"/>
          <w:szCs w:val="18"/>
        </w:rPr>
      </w:pPr>
      <w:bookmarkStart w:id="25" w:name="P607"/>
      <w:bookmarkEnd w:id="25"/>
      <w:r w:rsidRPr="00EF03D4">
        <w:rPr>
          <w:rFonts w:ascii="Tahoma" w:hAnsi="Tahoma" w:cs="Tahoma"/>
          <w:sz w:val="18"/>
          <w:szCs w:val="18"/>
        </w:rPr>
        <w:t>160. С учетом целей антикоррупционного законодательства Российской Федерации в данном разделе не указываются следующие счета: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счета, закрытые по состоянию на отчетную дату;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специальные избирательные счета, открытые в соответствии с Федеральным законом от 12 июня 2002 г. N 67-ФЗ "Об основных гарантиях избирательных прав и права на участие в референдуме граждан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публичные депозитные счета нотариуса;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 счета доверительного управления;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 открываемые не на основании гражданско-правового договора счета, счета депо, счета брокера, индивидуальные инвестиционные счета;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217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 синтетические счета.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161.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N 5798-У.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этой связи рекомендуется заполнять данный раздел справки на основании информации, полученной в рамках Указания Банка России N 5798-У, которая является официальной.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Для счета цифрового рубля информацию целесообразно получать непосредственно у Банка России, который открывает такой счет.</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162. 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Поскольку счет цифрового рубля открывается исключительно Банком России, то в отношении такого счета указывается "Банк России, 107016, Москва, ул. Неглинная, д. 12, к. 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163. 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N 204-И "Об открытии, ведении и закрытии банковских счетов, счетов по вкладам (депозитам)".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164. В соответствии с указанной Инструкцией и с учетом пунктов 159 и 160 настоящих Методических рекомендаций физическим лицам открываются следующие применимые для целей представления Сведений счета: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Счет такой карты, как правило, текущий;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165. В графе "Дата открытия счета" не допускается указание даты выпуска (перевыпуска) платежной карты.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166. Графа "Остаток на счете (руб.)" заполняется по состоянию на отчетную дату.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"Остаток на счете (руб.)" раздела 4 справки в полном объеме.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Для счетов в иностранной валюте остаток указывается в рублях по курсу Банка России на отчетную дату (с учетом положений пункта 56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167. Графа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2026 году графа "Сумма поступивших на счет денежных средств (руб.)" заполняется в отношении всех счетов, указанных в каждой отдельной справке,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такие счета в 2025 году, превышает общий доход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По счету в драгоценных металлах данная графа не заполняется.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sidRPr="00EF03D4">
        <w:rPr>
          <w:rFonts w:ascii="Tahoma" w:hAnsi="Tahoma" w:cs="Tahoma"/>
          <w:noProof/>
          <w:position w:val="-11"/>
          <w:sz w:val="18"/>
          <w:szCs w:val="18"/>
        </w:rPr>
        <w:drawing>
          <wp:inline distT="0" distB="0" distL="0" distR="0" wp14:anchorId="7B870CC5" wp14:editId="0701CC45">
            <wp:extent cx="26225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rsidRPr="00EF03D4">
        <w:rPr>
          <w:rFonts w:ascii="Tahoma" w:hAnsi="Tahoma" w:cs="Tahoma"/>
          <w:sz w:val="18"/>
          <w:szCs w:val="1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168. 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Также учету подлежат доходы ребенка, полученные им в соответствующий трехлетний период и до достижения совершеннолетия.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Лица, представляющие Сведения не в рамках декларационной кампании, в случае наличия оснований также заполняют данную графу. Так, например, для лиц, указанных в пункте 2 настоящих Методических рекомендаций, впервые начинающих трудовую деятельность, например, после получения высшего образования, графа "Сумма поступивших на счет денежных средств (руб.)" часто подлежит заполнению в связи с незначительными доходами в предыдущие годы.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Для счетов в иностранной валюте сумма указывается в рублях по курсу Банка России на отчетную дату (с учетом положений пункта 56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169. Отдельные аспекты заполнения графы "Сумма поступивших на счет денежных средств (руб.)":</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сумма денежных средств, поступивших на закрытые по состоянию на отчетную дату счета, не учитывается;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Перечень возможных на практике ситуаций (таблица N 6):</w:t>
      </w:r>
    </w:p>
    <w:p w:rsidR="00EF03D4" w:rsidRPr="00EF03D4" w:rsidRDefault="00EF03D4">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F03D4" w:rsidRPr="00EF03D4">
        <w:tc>
          <w:tcPr>
            <w:tcW w:w="9071" w:type="dxa"/>
            <w:tcBorders>
              <w:left w:val="single" w:sz="4" w:space="0" w:color="auto"/>
              <w:right w:val="single" w:sz="4" w:space="0" w:color="auto"/>
            </w:tcBorders>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 течение отчетного периода на счета служащего (работника) поступило 300 тыс. руб., а на счета его супруги (супруга) - 500 тыс. руб.</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Общий доход служащего (работника), его супруги (супруга) и несовершеннолетних детей за отчетный период и два предшествующих года (далее в таблице N 5 - совокупный доход) составляет 6000 тыс. руб.</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 данном примере:</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1) графа "Сумма поступивших на счет денежных средств (руб.)" раздела 4 справки в отношении служащего (работника) не заполняется;</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2) графа "Сумма поступивших на счет денежных средств (руб.)" раздела 4 справки в отношении его супруги (супруга) также не заполняется.</w:t>
            </w:r>
          </w:p>
        </w:tc>
      </w:tr>
      <w:tr w:rsidR="00EF03D4" w:rsidRPr="00EF03D4">
        <w:tc>
          <w:tcPr>
            <w:tcW w:w="9071" w:type="dxa"/>
            <w:tcBorders>
              <w:left w:val="single" w:sz="4" w:space="0" w:color="auto"/>
              <w:right w:val="single" w:sz="4" w:space="0" w:color="auto"/>
            </w:tcBorders>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По состоянию на отчетную дату и в течение отчетного периода у служащего (работника) открыто три счета.</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 данном примере:</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1) перераспределение (оборот) денежных средств по счетам составил 900 тыс. руб.;</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2) сумма денежных средств, поступивших на счета, - 500 тыс. руб.</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500 тыс. руб.</w:t>
            </w:r>
          </w:p>
        </w:tc>
      </w:tr>
      <w:tr w:rsidR="00EF03D4" w:rsidRPr="00EF03D4">
        <w:tc>
          <w:tcPr>
            <w:tcW w:w="9071" w:type="dxa"/>
            <w:tcBorders>
              <w:left w:val="single" w:sz="4" w:space="0" w:color="auto"/>
              <w:right w:val="single" w:sz="4" w:space="0" w:color="auto"/>
            </w:tcBorders>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По состоянию на отчетную дату и в течение отчетного периода у служащего (работника) открыто два счета.</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 течение отчетного периода на счет "А" поступило 400 тыс. руб.; на счет "Б" - 300 тыс. руб.</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Сначала со счета "А" на счет "Б" переведены 200 тыс. руб., потом со счета "Б" на счет "А" - 500 тыс. руб.</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lastRenderedPageBreak/>
              <w:t>В данном примере:</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1) перераспределение (оборот) денежных средств по счетам составил 1400 тыс. руб.;</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2) сумма денежных средств, поступивших на счета, - 700 тыс. руб.</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700 тыс. руб.</w:t>
            </w:r>
          </w:p>
        </w:tc>
      </w:tr>
      <w:tr w:rsidR="00EF03D4" w:rsidRPr="00EF03D4">
        <w:tc>
          <w:tcPr>
            <w:tcW w:w="9071" w:type="dxa"/>
            <w:tcBorders>
              <w:left w:val="single" w:sz="4" w:space="0" w:color="auto"/>
              <w:right w:val="single" w:sz="4" w:space="0" w:color="auto"/>
            </w:tcBorders>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lastRenderedPageBreak/>
              <w:t>По состоянию на отчетную дату и в течение отчетного периода у служащего (работника) открыто два счета.</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В данном примере:</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1) перераспределение (оборот) денежных средств по счетам составил 1000 тыс. руб.;</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2) сумма денежных средств, поступивших на счета, - 1000 тыс. руб.</w:t>
            </w:r>
          </w:p>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Таким образом, для целей определения необходимости заполнения графы "Сумма поступивших на счет денежных средств (руб.)" раздела 4 справки необходимо сравнивать совокупный доход с 1000 тыс. руб.</w:t>
            </w:r>
          </w:p>
        </w:tc>
      </w:tr>
    </w:tbl>
    <w:p w:rsidR="00EF03D4" w:rsidRPr="00EF03D4" w:rsidRDefault="00EF03D4">
      <w:pPr>
        <w:pStyle w:val="ConsPlusNormal"/>
        <w:jc w:val="both"/>
        <w:rPr>
          <w:rFonts w:ascii="Tahoma" w:hAnsi="Tahoma" w:cs="Tahoma"/>
          <w:sz w:val="18"/>
          <w:szCs w:val="18"/>
        </w:rPr>
      </w:pPr>
    </w:p>
    <w:p w:rsidR="00EF03D4" w:rsidRPr="00EF03D4" w:rsidRDefault="00EF03D4">
      <w:pPr>
        <w:pStyle w:val="ConsPlusNormal"/>
        <w:ind w:firstLine="540"/>
        <w:jc w:val="both"/>
        <w:rPr>
          <w:rFonts w:ascii="Tahoma" w:hAnsi="Tahoma" w:cs="Tahoma"/>
          <w:sz w:val="18"/>
          <w:szCs w:val="18"/>
        </w:rPr>
      </w:pPr>
      <w:r w:rsidRPr="00EF03D4">
        <w:rPr>
          <w:rFonts w:ascii="Tahoma" w:hAnsi="Tahoma" w:cs="Tahoma"/>
          <w:sz w:val="18"/>
          <w:szCs w:val="18"/>
        </w:rPr>
        <w:t>170. Заполнение графы "Сумма поступивших на счет денежных средств (руб.)" при отсутствии оснований не является нарушением.</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Совместный счет</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171.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данном случае в каждой подаваемой справке представляется идентичная информация о таком счете.</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Кредитные карты, карты с овердрафтом, электронные средства платежа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172. Банк (иная кредитная организация) выпускает следующие виды карт (таблица N 7):</w:t>
      </w:r>
    </w:p>
    <w:p w:rsidR="00EF03D4" w:rsidRPr="00EF03D4" w:rsidRDefault="00EF03D4">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597"/>
      </w:tblGrid>
      <w:tr w:rsidR="00EF03D4" w:rsidRPr="00EF03D4">
        <w:tc>
          <w:tcPr>
            <w:tcW w:w="1474"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Расчетная (дебетовая)</w:t>
            </w:r>
          </w:p>
        </w:tc>
        <w:tc>
          <w:tcPr>
            <w:tcW w:w="7597"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F03D4" w:rsidRPr="00EF03D4">
        <w:tc>
          <w:tcPr>
            <w:tcW w:w="1474"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Кредитная</w:t>
            </w:r>
          </w:p>
        </w:tc>
        <w:tc>
          <w:tcPr>
            <w:tcW w:w="7597" w:type="dxa"/>
          </w:tcPr>
          <w:p w:rsidR="00EF03D4" w:rsidRPr="00EF03D4" w:rsidRDefault="00EF03D4">
            <w:pPr>
              <w:pStyle w:val="ConsPlusNormal"/>
              <w:jc w:val="both"/>
              <w:rPr>
                <w:rFonts w:ascii="Tahoma" w:hAnsi="Tahoma" w:cs="Tahoma"/>
                <w:sz w:val="18"/>
                <w:szCs w:val="18"/>
              </w:rPr>
            </w:pPr>
            <w:r w:rsidRPr="00EF03D4">
              <w:rPr>
                <w:rFonts w:ascii="Tahoma" w:hAnsi="Tahoma" w:cs="Tahoma"/>
                <w:sz w:val="18"/>
                <w:szCs w:val="1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EF03D4" w:rsidRPr="00EF03D4" w:rsidRDefault="00EF03D4">
      <w:pPr>
        <w:pStyle w:val="ConsPlusNormal"/>
        <w:jc w:val="both"/>
        <w:rPr>
          <w:rFonts w:ascii="Tahoma" w:hAnsi="Tahoma" w:cs="Tahoma"/>
          <w:sz w:val="18"/>
          <w:szCs w:val="18"/>
        </w:rPr>
      </w:pPr>
    </w:p>
    <w:p w:rsidR="00EF03D4" w:rsidRPr="00EF03D4" w:rsidRDefault="00EF03D4">
      <w:pPr>
        <w:pStyle w:val="ConsPlusNormal"/>
        <w:ind w:firstLine="540"/>
        <w:jc w:val="both"/>
        <w:rPr>
          <w:rFonts w:ascii="Tahoma" w:hAnsi="Tahoma" w:cs="Tahoma"/>
          <w:sz w:val="18"/>
          <w:szCs w:val="18"/>
        </w:rPr>
      </w:pPr>
      <w:r w:rsidRPr="00EF03D4">
        <w:rPr>
          <w:rFonts w:ascii="Tahoma" w:hAnsi="Tahoma" w:cs="Tahoma"/>
          <w:sz w:val="18"/>
          <w:szCs w:val="18"/>
        </w:rPr>
        <w:t>173. Расчетная (дебетовая) и, как правило, кредитные карты предполагают открытие и ведение банком (иной кредитной организацией) счета.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https://www.nalog.gov.ru/rn77/related_activities/accounting/bank_account/.</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случае наличия различий в информации о банковских счетах, представленных ФНС России и в соответствии с Указанием Банка России N 5798-У банком (иной кредитной организацией), приоритет рекомендуется отдавать информации, полученной в рамках Указания Банка России N 5798-У.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174. 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175. 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176.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177.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178. Следует обращать внимание, что основанием закрытия счета является прекращение договора счета в установленном порядке или соглашение сторон.</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179. В данном разделе не указываются: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сведения об участии в программе государственного софинансирования пенсии, действующей в соответствии с Федеральным законом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сведения о заключении договора долгосрочных сбережений в соответствии с Федеральным законом от 7 мая 1998 г. N 75-ФЗ "О негосударственных пенсионных фондах";</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электронные средства платежа, в том числе "электронные кошельки" (например, "ЮMoney",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Под электронным средством платежа в соответствии с пунктом 19 статьи 3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и их преобразованных данных (токенизированных (цифровых) платежных карт), а также иных технических устройств.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Отзыв лицензии у кредитной организации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N 5798-У.</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Ликвидация кредитной организации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181. Ликвидация кредитной организации свидетельствует о закрытии счета в данной кредитной организации.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N 5798-У.</w:t>
      </w:r>
    </w:p>
    <w:p w:rsidR="00EF03D4" w:rsidRPr="00EF03D4" w:rsidRDefault="00EF03D4">
      <w:pPr>
        <w:pStyle w:val="ConsPlusNormal"/>
        <w:jc w:val="both"/>
        <w:rPr>
          <w:rFonts w:ascii="Tahoma" w:hAnsi="Tahoma" w:cs="Tahoma"/>
          <w:sz w:val="18"/>
          <w:szCs w:val="18"/>
        </w:rPr>
      </w:pPr>
    </w:p>
    <w:p w:rsidR="00EF03D4" w:rsidRPr="00EF03D4" w:rsidRDefault="00EF03D4">
      <w:pPr>
        <w:pStyle w:val="ConsPlusTitle"/>
        <w:jc w:val="center"/>
        <w:outlineLvl w:val="1"/>
        <w:rPr>
          <w:rFonts w:ascii="Tahoma" w:hAnsi="Tahoma" w:cs="Tahoma"/>
          <w:sz w:val="18"/>
          <w:szCs w:val="18"/>
        </w:rPr>
      </w:pPr>
      <w:r w:rsidRPr="00EF03D4">
        <w:rPr>
          <w:rFonts w:ascii="Tahoma" w:hAnsi="Tahoma" w:cs="Tahoma"/>
          <w:sz w:val="18"/>
          <w:szCs w:val="18"/>
        </w:rPr>
        <w:t>РАЗДЕЛ 5. СВЕДЕНИЯ О ЦЕННЫХ БУМАГАХ</w:t>
      </w:r>
    </w:p>
    <w:p w:rsidR="00EF03D4" w:rsidRPr="00EF03D4" w:rsidRDefault="00EF03D4">
      <w:pPr>
        <w:pStyle w:val="ConsPlusNormal"/>
        <w:jc w:val="both"/>
        <w:rPr>
          <w:rFonts w:ascii="Tahoma" w:hAnsi="Tahoma" w:cs="Tahoma"/>
          <w:sz w:val="18"/>
          <w:szCs w:val="18"/>
        </w:rPr>
      </w:pPr>
    </w:p>
    <w:p w:rsidR="00EF03D4" w:rsidRPr="00EF03D4" w:rsidRDefault="00EF03D4">
      <w:pPr>
        <w:pStyle w:val="ConsPlusNormal"/>
        <w:ind w:firstLine="540"/>
        <w:jc w:val="both"/>
        <w:rPr>
          <w:rFonts w:ascii="Tahoma" w:hAnsi="Tahoma" w:cs="Tahoma"/>
          <w:sz w:val="18"/>
          <w:szCs w:val="18"/>
        </w:rPr>
      </w:pPr>
      <w:r w:rsidRPr="00EF03D4">
        <w:rPr>
          <w:rFonts w:ascii="Tahoma" w:hAnsi="Tahoma" w:cs="Tahoma"/>
          <w:sz w:val="18"/>
          <w:szCs w:val="18"/>
        </w:rPr>
        <w:t xml:space="preserve">182. 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Pr="00EF03D4">
        <w:rPr>
          <w:rFonts w:ascii="Tahoma" w:hAnsi="Tahoma" w:cs="Tahoma"/>
          <w:sz w:val="18"/>
          <w:szCs w:val="18"/>
        </w:rPr>
        <w:lastRenderedPageBreak/>
        <w:t>справки (строка "Доход от ценных бумаг и долей участия в коммерческих организациях").</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Государственный сертификат на материнский (семейный) капитал не является ценной бумагой и не подлежит указанию в разделе 5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 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пунктом 2 статьи 11.1 Закона Российской Федерации от 27 ноября 1992 г. N 4015-1 "Об организации страхового дела в Российской Федерации").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 Кроме того, в силу статьи 926.1, пункта 1 статьи 926.5, статьи 926.6 Гражданского кодекса Российской Федерации передача ценных бумаг на депонирование эскроу-агенту по общему правилу не влечет перехода права собственности на них к эскроу-агенту. В этой связи такие ценные бумаги также отражаются в разделе 5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Отдельная информация, необходимая для заполнения раздела 5 справки, может быть получена в рамках Указания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Также при отсутствии информации в отношении отдельных граф организация в соответствии с Указанием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Подраздел 5.1. Акции и иное участие в коммерческих организациях и фондах</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183. В соответствии с Федеральным законом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EF03D4" w:rsidRPr="00EF03D4" w:rsidRDefault="00EF03D4">
      <w:pPr>
        <w:pStyle w:val="ConsPlusNormal"/>
        <w:spacing w:before="220"/>
        <w:ind w:firstLine="540"/>
        <w:jc w:val="both"/>
        <w:rPr>
          <w:rFonts w:ascii="Tahoma" w:hAnsi="Tahoma" w:cs="Tahoma"/>
          <w:sz w:val="18"/>
          <w:szCs w:val="18"/>
        </w:rPr>
      </w:pPr>
      <w:bookmarkStart w:id="26" w:name="P728"/>
      <w:bookmarkEnd w:id="26"/>
      <w:r w:rsidRPr="00EF03D4">
        <w:rPr>
          <w:rFonts w:ascii="Tahoma" w:hAnsi="Tahoma" w:cs="Tahoma"/>
          <w:sz w:val="18"/>
          <w:szCs w:val="18"/>
        </w:rPr>
        <w:t>184. В графе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EF03D4" w:rsidRPr="00EF03D4" w:rsidRDefault="00EF03D4">
      <w:pPr>
        <w:pStyle w:val="ConsPlusNormal"/>
        <w:spacing w:before="220"/>
        <w:ind w:firstLine="540"/>
        <w:jc w:val="both"/>
        <w:rPr>
          <w:rFonts w:ascii="Tahoma" w:hAnsi="Tahoma" w:cs="Tahoma"/>
          <w:sz w:val="18"/>
          <w:szCs w:val="18"/>
        </w:rPr>
      </w:pPr>
      <w:bookmarkStart w:id="27" w:name="P730"/>
      <w:bookmarkEnd w:id="27"/>
      <w:r w:rsidRPr="00EF03D4">
        <w:rPr>
          <w:rFonts w:ascii="Tahoma" w:hAnsi="Tahoma" w:cs="Tahoma"/>
          <w:sz w:val="18"/>
          <w:szCs w:val="18"/>
        </w:rPr>
        <w:t xml:space="preserve">185. В графе "Местонахождение организации (адрес)"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w:t>
      </w:r>
      <w:r w:rsidRPr="00EF03D4">
        <w:rPr>
          <w:rFonts w:ascii="Tahoma" w:hAnsi="Tahoma" w:cs="Tahoma"/>
          <w:sz w:val="18"/>
          <w:szCs w:val="18"/>
        </w:rPr>
        <w:lastRenderedPageBreak/>
        <w:t>транслитерации).</w:t>
      </w:r>
    </w:p>
    <w:p w:rsidR="00EF03D4" w:rsidRPr="00EF03D4" w:rsidRDefault="00EF03D4">
      <w:pPr>
        <w:pStyle w:val="ConsPlusNormal"/>
        <w:spacing w:before="220"/>
        <w:ind w:firstLine="540"/>
        <w:jc w:val="both"/>
        <w:rPr>
          <w:rFonts w:ascii="Tahoma" w:hAnsi="Tahoma" w:cs="Tahoma"/>
          <w:sz w:val="18"/>
          <w:szCs w:val="18"/>
        </w:rPr>
      </w:pPr>
      <w:bookmarkStart w:id="28" w:name="P731"/>
      <w:bookmarkEnd w:id="28"/>
      <w:r w:rsidRPr="00EF03D4">
        <w:rPr>
          <w:rFonts w:ascii="Tahoma" w:hAnsi="Tahoma" w:cs="Tahoma"/>
          <w:sz w:val="18"/>
          <w:szCs w:val="18"/>
        </w:rPr>
        <w:t>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пункта 56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Если законодательством не предусмотрено формирование уставного капитала, то указывается "0 руб.".</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EF03D4" w:rsidRPr="00EF03D4" w:rsidRDefault="00EF03D4">
      <w:pPr>
        <w:pStyle w:val="ConsPlusNormal"/>
        <w:spacing w:before="220"/>
        <w:ind w:firstLine="540"/>
        <w:jc w:val="both"/>
        <w:rPr>
          <w:rFonts w:ascii="Tahoma" w:hAnsi="Tahoma" w:cs="Tahoma"/>
          <w:sz w:val="18"/>
          <w:szCs w:val="18"/>
        </w:rPr>
      </w:pPr>
      <w:bookmarkStart w:id="29" w:name="P734"/>
      <w:bookmarkEnd w:id="29"/>
      <w:r w:rsidRPr="00EF03D4">
        <w:rPr>
          <w:rFonts w:ascii="Tahoma" w:hAnsi="Tahoma" w:cs="Tahoma"/>
          <w:sz w:val="18"/>
          <w:szCs w:val="18"/>
        </w:rPr>
        <w:t>187.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188.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Для значений, выраженных в иностранной валюте, стоимость указывается в рублях по курсу Банка России на отчетную дату (с учетом положений пункта 56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189. В графе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"Основание участия" указывается "приобретено на организованных торгах", а также указывается год приобретения.</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Подраздел 5.2. Иные ценные бумаги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190. 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191. В графе "Номинальная величина обязательства (руб.)"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192. В графе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Для значений, выраженных в иностранной валюте, стоимость указывается в рублях по курсу Банка </w:t>
      </w:r>
      <w:r w:rsidRPr="00EF03D4">
        <w:rPr>
          <w:rFonts w:ascii="Tahoma" w:hAnsi="Tahoma" w:cs="Tahoma"/>
          <w:sz w:val="18"/>
          <w:szCs w:val="18"/>
        </w:rPr>
        <w:lastRenderedPageBreak/>
        <w:t>России на отчетную дату (с учетом положений пункта 56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193. 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N 28-7/10/В-12862 (https://mintrud.gov.ru/ministry/programms/anticorruption/9/21).</w:t>
      </w:r>
    </w:p>
    <w:p w:rsidR="00EF03D4" w:rsidRPr="00EF03D4" w:rsidRDefault="00EF03D4">
      <w:pPr>
        <w:pStyle w:val="ConsPlusNormal"/>
        <w:jc w:val="both"/>
        <w:rPr>
          <w:rFonts w:ascii="Tahoma" w:hAnsi="Tahoma" w:cs="Tahoma"/>
          <w:sz w:val="18"/>
          <w:szCs w:val="18"/>
        </w:rPr>
      </w:pPr>
    </w:p>
    <w:p w:rsidR="00EF03D4" w:rsidRPr="00EF03D4" w:rsidRDefault="00EF03D4">
      <w:pPr>
        <w:pStyle w:val="ConsPlusTitle"/>
        <w:jc w:val="center"/>
        <w:outlineLvl w:val="1"/>
        <w:rPr>
          <w:rFonts w:ascii="Tahoma" w:hAnsi="Tahoma" w:cs="Tahoma"/>
          <w:sz w:val="18"/>
          <w:szCs w:val="18"/>
        </w:rPr>
      </w:pPr>
      <w:r w:rsidRPr="00EF03D4">
        <w:rPr>
          <w:rFonts w:ascii="Tahoma" w:hAnsi="Tahoma" w:cs="Tahoma"/>
          <w:sz w:val="18"/>
          <w:szCs w:val="18"/>
        </w:rPr>
        <w:t>РАЗДЕЛ 6. СВЕДЕНИЯ ОБ ОБЯЗАТЕЛЬСТВАХ</w:t>
      </w:r>
    </w:p>
    <w:p w:rsidR="00EF03D4" w:rsidRPr="00EF03D4" w:rsidRDefault="00EF03D4">
      <w:pPr>
        <w:pStyle w:val="ConsPlusTitle"/>
        <w:jc w:val="center"/>
        <w:rPr>
          <w:rFonts w:ascii="Tahoma" w:hAnsi="Tahoma" w:cs="Tahoma"/>
          <w:sz w:val="18"/>
          <w:szCs w:val="18"/>
        </w:rPr>
      </w:pPr>
      <w:r w:rsidRPr="00EF03D4">
        <w:rPr>
          <w:rFonts w:ascii="Tahoma" w:hAnsi="Tahoma" w:cs="Tahoma"/>
          <w:sz w:val="18"/>
          <w:szCs w:val="18"/>
        </w:rPr>
        <w:t>ИМУЩЕСТВЕННОГО ХАРАКТЕРА</w:t>
      </w:r>
    </w:p>
    <w:p w:rsidR="00EF03D4" w:rsidRPr="00EF03D4" w:rsidRDefault="00EF03D4">
      <w:pPr>
        <w:pStyle w:val="ConsPlusNormal"/>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Подраздел 6.1. Объекты недвижимого имущества, находящиеся в пользовании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194. 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195. 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отсутствует фактическое пользование этим объектом супругом;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эти объекты указаны в подразделе 3.1 раздела 3 соответствующей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Аналогично в отношении несовершеннолетних детей.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196. 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197. В том числе указанию подлежат сведения о жилом помещении (дом, квартира, комната), нежилом помещении, земельном участке, гараже и т.д.:</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занимаемых по договору аренды (найма, поднайма);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занимаемых по договорам социального найма;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 принадлежащих на праве пожизненного наследуемого владения земельным участком;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198. Отражению подлежит также, например, земельный участок, на котором расположен частный дом, находящийся в пользовании.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199. При этом указывается общая площадь объекта недвижимого имущества, находящегося в пользовании.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200. Сведения об объектах недвижимого имущества, находящихся в пользовании, указываются по состоянию на отчетную дату.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201. В графе "Вид имущества" указывается вид недвижимого имущества (земельный участок, жилой дом, дача, квартира, комната и др.).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202. В графе "Вид и сроки пользования" указываются вид пользования (аренда, безвозмездное пользование и др.) и сроки пользования.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203. В графе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204. В данном подразделе не указывается недвижимое имущество, которое находится в собственности и уже отражено в подразделе 3.1 раздела 3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205. 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При этом данные доли собственности должны быть отражены в подразделе 3.1 раздела 3 справок служащего (работника) и его супруги (супруга).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Аналогично в отношении несовершеннолетних детей.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иных случаях, при которых доля собственности находится у лица, в отношении которого справка не представляется, такая доля подлежит отражению в данном подразделе при наличии фактов пользования.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206. Графа "Площадь (кв. м)" заполняется на основании правоустанавливающих документов, а в случае их отсутствия - исходя из фактических значений.</w:t>
      </w:r>
    </w:p>
    <w:p w:rsidR="00EF03D4" w:rsidRPr="00EF03D4" w:rsidRDefault="00EF03D4">
      <w:pPr>
        <w:pStyle w:val="ConsPlusNormal"/>
        <w:ind w:firstLine="540"/>
        <w:jc w:val="both"/>
        <w:rPr>
          <w:rFonts w:ascii="Tahoma" w:hAnsi="Tahoma" w:cs="Tahoma"/>
          <w:sz w:val="18"/>
          <w:szCs w:val="18"/>
        </w:rPr>
      </w:pPr>
    </w:p>
    <w:p w:rsidR="00EF03D4" w:rsidRPr="00EF03D4" w:rsidRDefault="00EF03D4">
      <w:pPr>
        <w:pStyle w:val="ConsPlusTitle"/>
        <w:ind w:firstLine="540"/>
        <w:jc w:val="both"/>
        <w:outlineLvl w:val="2"/>
        <w:rPr>
          <w:rFonts w:ascii="Tahoma" w:hAnsi="Tahoma" w:cs="Tahoma"/>
          <w:sz w:val="18"/>
          <w:szCs w:val="18"/>
        </w:rPr>
      </w:pPr>
      <w:r w:rsidRPr="00EF03D4">
        <w:rPr>
          <w:rFonts w:ascii="Tahoma" w:hAnsi="Tahoma" w:cs="Tahoma"/>
          <w:sz w:val="18"/>
          <w:szCs w:val="18"/>
        </w:rPr>
        <w:t>Подраздел 6.2. Срочные обязательства финансового характера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207. В данном подразделе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Данный подраздел также подлежит заполнению в случае, если лицо, в отношении которого представляются Сведения, является созаемщиком.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208. В графе "Содержание обязательства" указывается существо обязательства (заем, кредит, в том </w:t>
      </w:r>
      <w:r w:rsidRPr="00EF03D4">
        <w:rPr>
          <w:rFonts w:ascii="Tahoma" w:hAnsi="Tahoma" w:cs="Tahoma"/>
          <w:sz w:val="18"/>
          <w:szCs w:val="18"/>
        </w:rPr>
        <w:lastRenderedPageBreak/>
        <w:t>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209. В графе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Например,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210. В графе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211. В графе "Сумма обязательства/размер обязательства по состоянию на отчетную дату" указываются: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Для обязательств, выраженных в иностранной валюте, сумма указывается в рублях по курсу Банка России на отчетную дату (с учетом положений пункта 56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212.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213. В графе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214. Помимо прочего подлежат указанию:</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 договор финансовой аренды (лизинг);</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3) договор займа;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4) договор финансирования под уступку денежного требования;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5) обязательства, связанные с заключением договора об уступке права требования;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6) обязательства вследствие причинения вреда (финансовые);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8) обязательства по уплате алиментов (если по состоянию на отчетную дату сумма невыплаченных алиментов равна или превышает 500 000 руб.);</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9) обязательства по выплате арендной платы за наем жилого или нежилого помещения (если по </w:t>
      </w:r>
      <w:r w:rsidRPr="00EF03D4">
        <w:rPr>
          <w:rFonts w:ascii="Tahoma" w:hAnsi="Tahoma" w:cs="Tahoma"/>
          <w:sz w:val="18"/>
          <w:szCs w:val="18"/>
        </w:rPr>
        <w:lastRenderedPageBreak/>
        <w:t>состоянию на отчетную дату сумма невыплаченной арендной платы равна или превышает 500 000 руб.);</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10) выкупленная дебиторская задолженность;</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11) финансовые обязательства, участником которых в силу Федерального закона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12) предоставленные брокером займы (т.н. "маржинальные сделки");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13) обязательства по незакрытым сделкам РЕПО и СВОП (у клиента имеются требования и обязательства по этим сделкам);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14) фьючерсный договор;</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15) иные обязательства, в том числе установленные решением суда.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215. При этом в данном подразделе не указываются, например, договор срочного банковского вклада.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216. 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N 5798-У.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217. Отдельные виды срочных обязательств финансового характера: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1) участие в долевом строительстве объекта недвижимости. 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В графе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Данный порядок применяется также в случае использования счетов эскроу.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2) обязательства по ипотеке в случае разделения суммы кредита между супругами. Согласно пунктам 4 и 5 статьи 9 Федерального закона от 16 июля 1998 г. N 102-ФЗ "Об ипотеке (залоге недвижимости)" </w:t>
      </w:r>
      <w:r w:rsidRPr="00EF03D4">
        <w:rPr>
          <w:rFonts w:ascii="Tahoma" w:hAnsi="Tahoma" w:cs="Tahoma"/>
          <w:sz w:val="18"/>
          <w:szCs w:val="18"/>
        </w:rPr>
        <w:lastRenderedPageBreak/>
        <w:t>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"Сумма обязательства/размер обязательства по состоянию на отчетную дату (руб.)"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"Условие обязательства" названного подраздела указать созаемщиков.</w:t>
      </w:r>
    </w:p>
    <w:p w:rsidR="00EF03D4" w:rsidRPr="00EF03D4" w:rsidRDefault="00EF03D4">
      <w:pPr>
        <w:pStyle w:val="ConsPlusNormal"/>
        <w:spacing w:before="220"/>
        <w:ind w:firstLine="540"/>
        <w:jc w:val="both"/>
        <w:rPr>
          <w:rFonts w:ascii="Tahoma" w:hAnsi="Tahoma" w:cs="Tahoma"/>
          <w:sz w:val="18"/>
          <w:szCs w:val="18"/>
        </w:rPr>
      </w:pPr>
      <w:bookmarkStart w:id="30" w:name="P828"/>
      <w:bookmarkEnd w:id="30"/>
      <w:r w:rsidRPr="00EF03D4">
        <w:rPr>
          <w:rFonts w:ascii="Tahoma" w:hAnsi="Tahoma" w:cs="Tahoma"/>
          <w:sz w:val="18"/>
          <w:szCs w:val="18"/>
        </w:rPr>
        <w:t>3) обязательства в соответствии с Законом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справка.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Справку рекомендуется заполнять с учетом сведений, полученных от страховщика в рамках Указания Банка России N 5798-У. В отношении договоров инвестиционного страхования жизни рекомендуется также получать сведения у страховщика.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Также в Указании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Обязательное пенсионное страхование и негосударственное пенсионное обеспечение не подпадает под регулирование Законом Российской Федерации от 27 ноября 1992 г. N 4015-I "Об организации страхового дела в Российской Федерации".</w:t>
      </w:r>
    </w:p>
    <w:p w:rsidR="00EF03D4" w:rsidRPr="00EF03D4" w:rsidRDefault="00EF03D4">
      <w:pPr>
        <w:pStyle w:val="ConsPlusNormal"/>
        <w:spacing w:before="220"/>
        <w:ind w:firstLine="540"/>
        <w:jc w:val="both"/>
        <w:rPr>
          <w:rFonts w:ascii="Tahoma" w:hAnsi="Tahoma" w:cs="Tahoma"/>
          <w:sz w:val="18"/>
          <w:szCs w:val="18"/>
        </w:rPr>
      </w:pPr>
      <w:bookmarkStart w:id="31" w:name="P834"/>
      <w:bookmarkEnd w:id="31"/>
      <w:r w:rsidRPr="00EF03D4">
        <w:rPr>
          <w:rFonts w:ascii="Tahoma" w:hAnsi="Tahoma" w:cs="Tahoma"/>
          <w:sz w:val="18"/>
          <w:szCs w:val="18"/>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w:t>
      </w:r>
      <w:r w:rsidRPr="00EF03D4">
        <w:rPr>
          <w:rFonts w:ascii="Tahoma" w:hAnsi="Tahoma" w:cs="Tahoma"/>
          <w:sz w:val="18"/>
          <w:szCs w:val="18"/>
        </w:rPr>
        <w:lastRenderedPageBreak/>
        <w:t>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(с учетом положений пункта 56 настоящих Методических рекомендаций).</w:t>
      </w:r>
    </w:p>
    <w:p w:rsidR="00EF03D4" w:rsidRPr="00EF03D4" w:rsidRDefault="00EF03D4">
      <w:pPr>
        <w:pStyle w:val="ConsPlusNormal"/>
        <w:jc w:val="both"/>
        <w:rPr>
          <w:rFonts w:ascii="Tahoma" w:hAnsi="Tahoma" w:cs="Tahoma"/>
          <w:sz w:val="18"/>
          <w:szCs w:val="18"/>
        </w:rPr>
      </w:pPr>
    </w:p>
    <w:p w:rsidR="00EF03D4" w:rsidRPr="00EF03D4" w:rsidRDefault="00EF03D4">
      <w:pPr>
        <w:pStyle w:val="ConsPlusTitle"/>
        <w:jc w:val="center"/>
        <w:outlineLvl w:val="1"/>
        <w:rPr>
          <w:rFonts w:ascii="Tahoma" w:hAnsi="Tahoma" w:cs="Tahoma"/>
          <w:sz w:val="18"/>
          <w:szCs w:val="18"/>
        </w:rPr>
      </w:pPr>
      <w:r w:rsidRPr="00EF03D4">
        <w:rPr>
          <w:rFonts w:ascii="Tahoma" w:hAnsi="Tahoma" w:cs="Tahoma"/>
          <w:sz w:val="18"/>
          <w:szCs w:val="18"/>
        </w:rPr>
        <w:t>РАЗДЕЛ 7. СВЕДЕНИЯ О НЕДВИЖИМОМ ИМУЩЕСТВЕ, ТРАНСПОРТНЫХ</w:t>
      </w:r>
    </w:p>
    <w:p w:rsidR="00EF03D4" w:rsidRPr="00EF03D4" w:rsidRDefault="00EF03D4">
      <w:pPr>
        <w:pStyle w:val="ConsPlusTitle"/>
        <w:jc w:val="center"/>
        <w:rPr>
          <w:rFonts w:ascii="Tahoma" w:hAnsi="Tahoma" w:cs="Tahoma"/>
          <w:sz w:val="18"/>
          <w:szCs w:val="18"/>
        </w:rPr>
      </w:pPr>
      <w:r w:rsidRPr="00EF03D4">
        <w:rPr>
          <w:rFonts w:ascii="Tahoma" w:hAnsi="Tahoma" w:cs="Tahoma"/>
          <w:sz w:val="18"/>
          <w:szCs w:val="18"/>
        </w:rPr>
        <w:t>СРЕДСТВАХ, ЦЕННЫХ БУМАГАХ, ЦИФРОВЫХ ФИНАНСОВЫХ АКТИВАХ,</w:t>
      </w:r>
    </w:p>
    <w:p w:rsidR="00EF03D4" w:rsidRPr="00EF03D4" w:rsidRDefault="00EF03D4">
      <w:pPr>
        <w:pStyle w:val="ConsPlusTitle"/>
        <w:jc w:val="center"/>
        <w:rPr>
          <w:rFonts w:ascii="Tahoma" w:hAnsi="Tahoma" w:cs="Tahoma"/>
          <w:sz w:val="18"/>
          <w:szCs w:val="18"/>
        </w:rPr>
      </w:pPr>
      <w:r w:rsidRPr="00EF03D4">
        <w:rPr>
          <w:rFonts w:ascii="Tahoma" w:hAnsi="Tahoma" w:cs="Tahoma"/>
          <w:sz w:val="18"/>
          <w:szCs w:val="18"/>
        </w:rPr>
        <w:t>ЦИФРОВЫХ ПРАВАХ, ВКЛЮЧАЮЩИХ ОДНОВРЕМЕННО ЦИФРОВЫЕ ФИНАНСОВЫЕ</w:t>
      </w:r>
    </w:p>
    <w:p w:rsidR="00EF03D4" w:rsidRPr="00EF03D4" w:rsidRDefault="00EF03D4">
      <w:pPr>
        <w:pStyle w:val="ConsPlusTitle"/>
        <w:jc w:val="center"/>
        <w:rPr>
          <w:rFonts w:ascii="Tahoma" w:hAnsi="Tahoma" w:cs="Tahoma"/>
          <w:sz w:val="18"/>
          <w:szCs w:val="18"/>
        </w:rPr>
      </w:pPr>
      <w:r w:rsidRPr="00EF03D4">
        <w:rPr>
          <w:rFonts w:ascii="Tahoma" w:hAnsi="Tahoma" w:cs="Tahoma"/>
          <w:sz w:val="18"/>
          <w:szCs w:val="18"/>
        </w:rPr>
        <w:t>АКТИВЫ И ИНЫЕ ЦИФРОВЫЕ ПРАВА, ОБ УТИЛИТАРНЫХ ЦИФРОВЫХ ПРАВАХ</w:t>
      </w:r>
    </w:p>
    <w:p w:rsidR="00EF03D4" w:rsidRPr="00EF03D4" w:rsidRDefault="00EF03D4">
      <w:pPr>
        <w:pStyle w:val="ConsPlusTitle"/>
        <w:jc w:val="center"/>
        <w:rPr>
          <w:rFonts w:ascii="Tahoma" w:hAnsi="Tahoma" w:cs="Tahoma"/>
          <w:sz w:val="18"/>
          <w:szCs w:val="18"/>
        </w:rPr>
      </w:pPr>
      <w:r w:rsidRPr="00EF03D4">
        <w:rPr>
          <w:rFonts w:ascii="Tahoma" w:hAnsi="Tahoma" w:cs="Tahoma"/>
          <w:sz w:val="18"/>
          <w:szCs w:val="18"/>
        </w:rPr>
        <w:t>И ЦИФРОВОЙ ВАЛЮТЕ, ОТЧУЖДЕННЫХ В ТЕЧЕНИЕ ОТЧЕТНОГО ПЕРИОДА</w:t>
      </w:r>
    </w:p>
    <w:p w:rsidR="00EF03D4" w:rsidRPr="00EF03D4" w:rsidRDefault="00EF03D4">
      <w:pPr>
        <w:pStyle w:val="ConsPlusTitle"/>
        <w:jc w:val="center"/>
        <w:rPr>
          <w:rFonts w:ascii="Tahoma" w:hAnsi="Tahoma" w:cs="Tahoma"/>
          <w:sz w:val="18"/>
          <w:szCs w:val="18"/>
        </w:rPr>
      </w:pPr>
      <w:r w:rsidRPr="00EF03D4">
        <w:rPr>
          <w:rFonts w:ascii="Tahoma" w:hAnsi="Tahoma" w:cs="Tahoma"/>
          <w:sz w:val="18"/>
          <w:szCs w:val="18"/>
        </w:rPr>
        <w:t>В РЕЗУЛЬТАТЕ БЕЗВОЗМЕЗДНОЙ СДЕЛКИ</w:t>
      </w:r>
    </w:p>
    <w:p w:rsidR="00EF03D4" w:rsidRPr="00EF03D4" w:rsidRDefault="00EF03D4">
      <w:pPr>
        <w:pStyle w:val="ConsPlusNormal"/>
        <w:jc w:val="both"/>
        <w:rPr>
          <w:rFonts w:ascii="Tahoma" w:hAnsi="Tahoma" w:cs="Tahoma"/>
          <w:sz w:val="18"/>
          <w:szCs w:val="18"/>
        </w:rPr>
      </w:pPr>
    </w:p>
    <w:p w:rsidR="00EF03D4" w:rsidRPr="00EF03D4" w:rsidRDefault="00EF03D4">
      <w:pPr>
        <w:pStyle w:val="ConsPlusNormal"/>
        <w:ind w:firstLine="540"/>
        <w:jc w:val="both"/>
        <w:rPr>
          <w:rFonts w:ascii="Tahoma" w:hAnsi="Tahoma" w:cs="Tahoma"/>
          <w:sz w:val="18"/>
          <w:szCs w:val="18"/>
        </w:rPr>
      </w:pPr>
      <w:r w:rsidRPr="00EF03D4">
        <w:rPr>
          <w:rFonts w:ascii="Tahoma" w:hAnsi="Tahoma" w:cs="Tahoma"/>
          <w:sz w:val="18"/>
          <w:szCs w:val="18"/>
        </w:rPr>
        <w:t>218. 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219.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220.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221. Уничтоженные объекты имущества не подлежат отражению в данном разделе справки.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222. Договор мены не подлежит отражению в данном разделе справки, так как он является возмездным.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223. 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224. Каждый объект безвозмездной сделки указывается отдельно.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225. 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111 настоящих Методических рекомендаций), местонахождение (адрес) в соответствии с пунктами 119 и 120 настоящих Методических рекомендаций, площадь (кв. м) в соответствии с пунктом 121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226. В строке "Транспортные средства" рекомендуется указывать вид, марку, модель транспортного средства, год изготовления, место регистрации.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227. 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пункта 56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184 настоящих Методических рекомендаций, местонахождение организации (адрес) в соответствии с пунктом 185 настоящих Методических рекомендаций, уставный капитал в соответствии с пунктом 186 настоящих Методических рекомендаций, доли участия в соответствии с пунктом 187 настоящих Методических рекомендаций.</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228. 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lastRenderedPageBreak/>
        <w:t>229. 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230. В строке "Утилитарные цифровые права" рекомендуется указывать уникальное условное обозначение, идентифицирующее утилитарное цифровое право.</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231. 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232. В графе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В случае безвозмездной сделки с юридическим лицом в данной графе указываются наименование, идентификационный номер налогоплательщика и основной государственный регистрационный номер юридического лица.</w:t>
      </w:r>
    </w:p>
    <w:p w:rsidR="00EF03D4" w:rsidRPr="00EF03D4" w:rsidRDefault="00EF03D4">
      <w:pPr>
        <w:pStyle w:val="ConsPlusNormal"/>
        <w:spacing w:before="220"/>
        <w:ind w:firstLine="540"/>
        <w:jc w:val="both"/>
        <w:rPr>
          <w:rFonts w:ascii="Tahoma" w:hAnsi="Tahoma" w:cs="Tahoma"/>
          <w:sz w:val="18"/>
          <w:szCs w:val="18"/>
        </w:rPr>
      </w:pPr>
      <w:r w:rsidRPr="00EF03D4">
        <w:rPr>
          <w:rFonts w:ascii="Tahoma" w:hAnsi="Tahoma" w:cs="Tahoma"/>
          <w:sz w:val="18"/>
          <w:szCs w:val="18"/>
        </w:rPr>
        <w:t>233. В графе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EF03D4" w:rsidRPr="00EF03D4" w:rsidRDefault="00EF03D4">
      <w:pPr>
        <w:pStyle w:val="ConsPlusNormal"/>
        <w:jc w:val="both"/>
        <w:rPr>
          <w:rFonts w:ascii="Tahoma" w:hAnsi="Tahoma" w:cs="Tahoma"/>
          <w:sz w:val="18"/>
          <w:szCs w:val="18"/>
        </w:rPr>
      </w:pPr>
    </w:p>
    <w:p w:rsidR="00EF03D4" w:rsidRPr="00EF03D4" w:rsidRDefault="00EF03D4">
      <w:pPr>
        <w:pStyle w:val="ConsPlusNormal"/>
        <w:jc w:val="both"/>
        <w:rPr>
          <w:rFonts w:ascii="Tahoma" w:hAnsi="Tahoma" w:cs="Tahoma"/>
          <w:sz w:val="18"/>
          <w:szCs w:val="18"/>
        </w:rPr>
      </w:pPr>
    </w:p>
    <w:p w:rsidR="00EF03D4" w:rsidRPr="00EF03D4" w:rsidRDefault="00EF03D4">
      <w:pPr>
        <w:pStyle w:val="ConsPlusNormal"/>
        <w:pBdr>
          <w:bottom w:val="single" w:sz="6" w:space="0" w:color="auto"/>
        </w:pBdr>
        <w:spacing w:before="100" w:after="100"/>
        <w:jc w:val="both"/>
        <w:rPr>
          <w:rFonts w:ascii="Tahoma" w:hAnsi="Tahoma" w:cs="Tahoma"/>
          <w:sz w:val="18"/>
          <w:szCs w:val="18"/>
        </w:rPr>
      </w:pPr>
    </w:p>
    <w:bookmarkEnd w:id="0"/>
    <w:p w:rsidR="003B0D35" w:rsidRPr="00EF03D4" w:rsidRDefault="003B0D35">
      <w:pPr>
        <w:rPr>
          <w:rFonts w:ascii="Tahoma" w:hAnsi="Tahoma" w:cs="Tahoma"/>
          <w:sz w:val="18"/>
          <w:szCs w:val="18"/>
        </w:rPr>
      </w:pPr>
    </w:p>
    <w:sectPr w:rsidR="003B0D35" w:rsidRPr="00EF03D4" w:rsidSect="006B6D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3D4"/>
    <w:rsid w:val="003B0D35"/>
    <w:rsid w:val="00AB763C"/>
    <w:rsid w:val="00EF0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03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03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03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03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03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03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03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03D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F03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03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03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03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03D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03D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03D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03D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03D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03D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EF03D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F03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29294</Words>
  <Characters>166978</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1</cp:revision>
  <dcterms:created xsi:type="dcterms:W3CDTF">2026-05-19T10:59:00Z</dcterms:created>
  <dcterms:modified xsi:type="dcterms:W3CDTF">2026-05-19T11:00:00Z</dcterms:modified>
</cp:coreProperties>
</file>