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/>
        <w:jc w:val="center"/>
        <w:outlineLvl w:val="0"/>
        <w:rPr>
          <w:rFonts w:ascii="Times New Roman" w:hAnsi="Times New Roman"/>
          <w:sz w:val="24"/>
        </w:rPr>
      </w:pPr>
    </w:p>
    <w:p w14:paraId="03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ОБОБЩЕНИЕ</w:t>
      </w:r>
    </w:p>
    <w:p w14:paraId="04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судебной практики Мокроусовского районного суда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Курганской области </w:t>
      </w:r>
    </w:p>
    <w:p w14:paraId="05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202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 xml:space="preserve"> год по применению ст.ст. 134-136 ГПК РФ, 128-130 КАС РФ.</w:t>
      </w:r>
    </w:p>
    <w:p w14:paraId="06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07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обобщения судебной практики изучены определения, вынесенные судьями Мокроусовского районного суда, касающиеся вопросов применения законодательства об отказе в принятии исковых (административных исковых) заявлений, их возвращении и оставлении без движения.</w:t>
      </w:r>
    </w:p>
    <w:p w14:paraId="08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Институты отказа в принятии, возвращения и оставления без движения искового (административного искового) заявления имеют важное значение в рамках реализации права человека на судебную защиту. От правильного применения указанных норм зависит реальная защита прав, свобод и охраняемых законом интересов граждан.</w:t>
      </w:r>
    </w:p>
    <w:p w14:paraId="09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году в Мокроусовский районный суд поступило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292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заявлени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(в 202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году</w:t>
      </w:r>
      <w:r>
        <w:rPr>
          <w:rFonts w:ascii="Times New Roman" w:hAnsi="Times New Roman"/>
          <w:sz w:val="24"/>
        </w:rPr>
        <w:t xml:space="preserve"> поступило </w:t>
      </w:r>
      <w:r>
        <w:rPr>
          <w:rFonts w:ascii="Times New Roman" w:hAnsi="Times New Roman"/>
          <w:sz w:val="24"/>
        </w:rPr>
        <w:t>423</w:t>
      </w:r>
      <w:r>
        <w:rPr>
          <w:rFonts w:ascii="Times New Roman" w:hAnsi="Times New Roman"/>
          <w:sz w:val="24"/>
        </w:rPr>
        <w:t xml:space="preserve"> заявлени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).</w:t>
      </w:r>
    </w:p>
    <w:p w14:paraId="0A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Данные о количестве </w:t>
      </w:r>
      <w:r>
        <w:rPr>
          <w:rFonts w:ascii="Times New Roman" w:hAnsi="Times New Roman"/>
          <w:sz w:val="24"/>
        </w:rPr>
        <w:t xml:space="preserve">заявлений </w:t>
      </w:r>
      <w:r>
        <w:rPr>
          <w:rFonts w:ascii="Times New Roman" w:hAnsi="Times New Roman"/>
          <w:sz w:val="24"/>
        </w:rPr>
        <w:t>непринятых к рассмотрению, возвращенных и оставленных без движения, можно отразить в приведенной таблице.</w:t>
      </w:r>
    </w:p>
    <w:p w14:paraId="0B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1683"/>
        <w:gridCol w:w="1100"/>
        <w:gridCol w:w="760"/>
        <w:gridCol w:w="1201"/>
        <w:gridCol w:w="769"/>
        <w:gridCol w:w="709"/>
        <w:gridCol w:w="850"/>
        <w:gridCol w:w="790"/>
        <w:gridCol w:w="911"/>
      </w:tblGrid>
      <w:tr>
        <w:trPr>
          <w:trHeight w:hRule="atLeast" w:val="924"/>
        </w:trPr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Поступило заявлений</w:t>
            </w:r>
          </w:p>
        </w:tc>
        <w:tc>
          <w:tcPr>
            <w:tcW w:type="dxa" w:w="18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принятии (ст. 134 ГПК РФ, ст. 128 КАС РФ)</w:t>
            </w:r>
          </w:p>
        </w:tc>
        <w:tc>
          <w:tcPr>
            <w:tcW w:type="dxa" w:w="197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 заявителю (ст.135 ГПК РФ, ст.129 КАС РФ)</w:t>
            </w:r>
          </w:p>
        </w:tc>
        <w:tc>
          <w:tcPr>
            <w:tcW w:type="dxa" w:w="32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оставлено без движения (ст. 136 ГПК РФ, ст. 130 КАС РФ))</w:t>
            </w:r>
          </w:p>
        </w:tc>
      </w:tr>
      <w:tr>
        <w:trPr>
          <w:trHeight w:hRule="atLeast" w:val="366"/>
        </w:trPr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7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5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5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</w:t>
            </w:r>
          </w:p>
        </w:tc>
      </w:tr>
      <w:tr>
        <w:trPr>
          <w:trHeight w:hRule="atLeast" w:val="366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5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%%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5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423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292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</w:tbl>
    <w:p w14:paraId="31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32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судьями Мокроусовского районного суда </w:t>
      </w:r>
      <w:r>
        <w:rPr>
          <w:rFonts w:ascii="Times New Roman" w:hAnsi="Times New Roman"/>
          <w:sz w:val="24"/>
        </w:rPr>
        <w:t xml:space="preserve">вынесено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определения об оставлении заявления без рассмотрения, данные определения вынесены в первом и третьем квартале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года.</w:t>
      </w:r>
    </w:p>
    <w:p w14:paraId="33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Гражданское дело не возбуждается судом в случае нарушения порядка обращения в суд. Правовые последствия несоблюдения установленного порядка предусмотрены в ст.ст. 135-136 ГПК РФ, ст.ст. 129-130 КАС РФ. Различие последствий между возвращением  заявления и оставлением без движения существенно. Если заявление возвращено, то оно выбыло из сферы действия суда, если же оно оставлено без движения, то исковое заявление находится в суде.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34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ст. 135 ГП РФ, 129 КАС РФ, за  обобщаемый период  районным судом в адрес заявителя возвращено </w:t>
      </w:r>
      <w:r>
        <w:rPr>
          <w:rFonts w:ascii="Times New Roman" w:hAnsi="Times New Roman"/>
          <w:sz w:val="24"/>
        </w:rPr>
        <w:t>19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заявлени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, из них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возвращены в </w:t>
      </w:r>
      <w:r>
        <w:rPr>
          <w:rFonts w:ascii="Times New Roman" w:hAnsi="Times New Roman"/>
          <w:sz w:val="24"/>
        </w:rPr>
        <w:t xml:space="preserve">четвертом </w:t>
      </w:r>
      <w:r>
        <w:rPr>
          <w:rFonts w:ascii="Times New Roman" w:hAnsi="Times New Roman"/>
          <w:sz w:val="24"/>
        </w:rPr>
        <w:t>квартале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35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Исковое заявление </w:t>
      </w:r>
      <w:r>
        <w:rPr>
          <w:rFonts w:ascii="Times New Roman" w:hAnsi="Times New Roman"/>
          <w:sz w:val="24"/>
        </w:rPr>
        <w:t>ООО «Хоум Кредит энд Финанс Банк» к</w:t>
      </w:r>
      <w:r>
        <w:rPr>
          <w:rFonts w:ascii="Times New Roman" w:hAnsi="Times New Roman"/>
          <w:sz w:val="24"/>
        </w:rPr>
        <w:t xml:space="preserve"> У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о взыскании задолженности по кредитному договору в соответствии с ч.1 ст.135 ГПК РФ, </w:t>
      </w:r>
      <w:r>
        <w:rPr>
          <w:rFonts w:ascii="Times New Roman" w:hAnsi="Times New Roman"/>
          <w:sz w:val="24"/>
        </w:rPr>
        <w:t>возвращено заявителю ввиду неподсудности Мокроусовскому районному суду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так как </w:t>
      </w:r>
      <w:r>
        <w:rPr>
          <w:rFonts w:ascii="Times New Roman" w:hAnsi="Times New Roman"/>
          <w:sz w:val="24"/>
        </w:rPr>
        <w:t>заявленные требования подлежат рассмотрению в порядке приказного производства.</w:t>
      </w:r>
    </w:p>
    <w:p w14:paraId="36000000">
      <w:pPr>
        <w:ind w:firstLine="540" w:left="0"/>
        <w:jc w:val="both"/>
        <w:rPr>
          <w:sz w:val="24"/>
        </w:rPr>
      </w:pPr>
      <w:r>
        <w:rPr>
          <w:sz w:val="24"/>
        </w:rPr>
        <w:t xml:space="preserve">Ввиду неподсудности возвращено </w:t>
      </w:r>
      <w:r>
        <w:rPr>
          <w:sz w:val="24"/>
        </w:rPr>
        <w:t xml:space="preserve">исковое заявление </w:t>
      </w:r>
      <w:r>
        <w:rPr>
          <w:sz w:val="24"/>
        </w:rPr>
        <w:t xml:space="preserve">ООО «СФО Титан» </w:t>
      </w:r>
      <w:r>
        <w:rPr>
          <w:sz w:val="24"/>
        </w:rPr>
        <w:t>к М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 xml:space="preserve">о взыскании задолженности по кредитному договору. Согласно кредитному договору, стороны договорились о том, что споры, возникающие между сторонами из договора или в связи с ним, подлежат рассмотрению в Центральном районном суде города Челябинска Челябинской области. Учитывая изложенное, судья </w:t>
      </w:r>
      <w:r>
        <w:rPr>
          <w:sz w:val="24"/>
        </w:rPr>
        <w:t xml:space="preserve"> вернул данное исковое заявление без рассмотрения. </w:t>
      </w:r>
    </w:p>
    <w:p w14:paraId="37000000">
      <w:pPr>
        <w:ind w:firstLine="540" w:left="0"/>
        <w:jc w:val="both"/>
        <w:rPr>
          <w:sz w:val="24"/>
        </w:rPr>
      </w:pPr>
      <w:r>
        <w:rPr>
          <w:sz w:val="24"/>
        </w:rPr>
        <w:t xml:space="preserve">Исковое заявление </w:t>
      </w:r>
      <w:r>
        <w:rPr>
          <w:sz w:val="24"/>
        </w:rPr>
        <w:t>С</w:t>
      </w:r>
      <w:r>
        <w:rPr>
          <w:sz w:val="24"/>
        </w:rPr>
        <w:t>.</w:t>
      </w:r>
      <w:r>
        <w:rPr>
          <w:sz w:val="24"/>
        </w:rPr>
        <w:t xml:space="preserve"> к Администрации Мокроусовского муниципального округа Курганской области о признании права собственности на недвижимое имущество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возвращено заявителю в связи с тем, что в адрес суда от лица, обратившегося в суд, поступило заявление о возвращении иска без рассмотрения. Так как определение о принятии дела не выносилось, на основании п.6 ч.1 ст.135 ГПК РФ, судья вернул заявление истцу со всеми приложенными к нему документами.</w:t>
      </w:r>
    </w:p>
    <w:p w14:paraId="38000000">
      <w:pPr>
        <w:ind w:firstLine="540" w:left="0"/>
        <w:jc w:val="both"/>
        <w:rPr>
          <w:sz w:val="24"/>
        </w:rPr>
      </w:pPr>
      <w:r>
        <w:rPr>
          <w:sz w:val="24"/>
        </w:rPr>
        <w:t>По аналогичным основаниям возвращено исковое заявление Б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к СПК колхоз «Заветы Ленина» о  признании права собственности на недвижимое имущество</w:t>
      </w:r>
      <w:r>
        <w:rPr>
          <w:sz w:val="24"/>
        </w:rPr>
        <w:t>.</w:t>
      </w:r>
    </w:p>
    <w:p w14:paraId="39000000">
      <w:pPr>
        <w:pStyle w:val="Style_5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Если при рассмотрении поступивших материалов устанавливалось, что исковое заявление по форме и содержанию не соответствует требованиям ст. 131 ГПК РФ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 xml:space="preserve">либо к нему не приложены документы из числа указанных в ст. 132 ГПК РФ,  судья оставлял исковое заявление без движения. </w:t>
      </w:r>
    </w:p>
    <w:p w14:paraId="3A000000">
      <w:pPr>
        <w:pStyle w:val="Style_5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тех случаях, когда оснований для оставления искового заявления без движения не имелось либо заявителем устранены отмеченные недостатки в установленный ему срок, заявление принималось к производству суда.</w:t>
      </w:r>
    </w:p>
    <w:p w14:paraId="3B000000">
      <w:pPr>
        <w:pStyle w:val="Style_5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Судьями Мокроусовского районного суда</w:t>
      </w:r>
      <w:r>
        <w:rPr>
          <w:rFonts w:ascii="Times New Roman" w:hAnsi="Times New Roman"/>
          <w:sz w:val="24"/>
        </w:rPr>
        <w:t xml:space="preserve"> в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году </w:t>
      </w:r>
      <w:r>
        <w:rPr>
          <w:rFonts w:ascii="Times New Roman" w:hAnsi="Times New Roman"/>
          <w:sz w:val="24"/>
        </w:rPr>
        <w:t xml:space="preserve">оставлено без движения </w:t>
      </w:r>
      <w:r>
        <w:rPr>
          <w:rFonts w:ascii="Times New Roman" w:hAnsi="Times New Roman"/>
          <w:sz w:val="24"/>
        </w:rPr>
        <w:t>59</w:t>
      </w:r>
      <w:r>
        <w:rPr>
          <w:rFonts w:ascii="Times New Roman" w:hAnsi="Times New Roman"/>
          <w:sz w:val="24"/>
        </w:rPr>
        <w:t xml:space="preserve"> исков</w:t>
      </w:r>
      <w:r>
        <w:rPr>
          <w:rFonts w:ascii="Times New Roman" w:hAnsi="Times New Roman"/>
          <w:sz w:val="24"/>
        </w:rPr>
        <w:t>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(административных исковых) </w:t>
      </w:r>
      <w:r>
        <w:rPr>
          <w:rFonts w:ascii="Times New Roman" w:hAnsi="Times New Roman"/>
          <w:sz w:val="24"/>
        </w:rPr>
        <w:t>заявлени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четвертом </w:t>
      </w:r>
      <w:r>
        <w:rPr>
          <w:rFonts w:ascii="Times New Roman" w:hAnsi="Times New Roman"/>
          <w:sz w:val="24"/>
        </w:rPr>
        <w:t>квартале)</w:t>
      </w:r>
      <w:r>
        <w:rPr>
          <w:rFonts w:ascii="Times New Roman" w:hAnsi="Times New Roman"/>
          <w:sz w:val="24"/>
        </w:rPr>
        <w:t>.</w:t>
      </w:r>
    </w:p>
    <w:p w14:paraId="3C000000">
      <w:pPr>
        <w:ind w:firstLine="708" w:left="0"/>
        <w:jc w:val="both"/>
        <w:rPr>
          <w:sz w:val="24"/>
        </w:rPr>
      </w:pPr>
      <w:r>
        <w:rPr>
          <w:sz w:val="24"/>
        </w:rPr>
        <w:t>Ввиду нарушения требований, установленных в статьях 131 и 132 ГПК РФ,  оставлено без движения исковое заявление ОАО «СКС» к наследственному имуществу К</w:t>
      </w:r>
      <w:r>
        <w:rPr>
          <w:sz w:val="24"/>
        </w:rPr>
        <w:t>.</w:t>
      </w:r>
      <w:r>
        <w:rPr>
          <w:sz w:val="24"/>
        </w:rPr>
        <w:t xml:space="preserve"> о взыскании задолженности по оплате коммунальных услуг в порядке наследования. К исковому заявлению не приложены: документы, подтверждающие наличие полномочий П</w:t>
      </w:r>
      <w:r>
        <w:rPr>
          <w:sz w:val="24"/>
        </w:rPr>
        <w:t>.</w:t>
      </w:r>
      <w:r>
        <w:rPr>
          <w:sz w:val="24"/>
        </w:rPr>
        <w:t xml:space="preserve"> на представление интересов ОАО «СКС» и подачу искового заявления, документ, подтверждающий оплату государственной пошлины в соответствии с требованиями законодательства,  расчет взыскиваемой или оспариваемой денежной суммы, дополнительное соглашение от 11.07.2018 к агентскому договору от 01.07.2011, на основании которого представитель АО ЭК «Восток» правомочен обеспечивать подачу исков в суд о взыскании задолженности в интересах истца. В установленный срок недостатки не устранены, заявление возвращено заявителю.  </w:t>
      </w:r>
    </w:p>
    <w:p w14:paraId="3D000000">
      <w:pPr>
        <w:ind w:firstLine="709" w:left="0" w:right="-1"/>
        <w:jc w:val="both"/>
        <w:rPr>
          <w:sz w:val="24"/>
        </w:rPr>
      </w:pPr>
      <w:r>
        <w:rPr>
          <w:sz w:val="24"/>
        </w:rPr>
        <w:t>И</w:t>
      </w:r>
      <w:r>
        <w:rPr>
          <w:sz w:val="24"/>
        </w:rPr>
        <w:t xml:space="preserve">сковое заявление </w:t>
      </w:r>
      <w:r>
        <w:rPr>
          <w:sz w:val="24"/>
        </w:rPr>
        <w:t>ООО «ПКО «Феникс» к С</w:t>
      </w:r>
      <w:r>
        <w:rPr>
          <w:sz w:val="24"/>
        </w:rPr>
        <w:t>.</w:t>
      </w:r>
      <w:r>
        <w:rPr>
          <w:sz w:val="24"/>
        </w:rPr>
        <w:t xml:space="preserve"> о взыскании задолженности за счет </w:t>
      </w:r>
      <w:r>
        <w:rPr>
          <w:sz w:val="24"/>
        </w:rPr>
        <w:t>наследственно</w:t>
      </w:r>
      <w:r>
        <w:rPr>
          <w:sz w:val="24"/>
        </w:rPr>
        <w:t xml:space="preserve">го </w:t>
      </w:r>
      <w:r>
        <w:rPr>
          <w:sz w:val="24"/>
        </w:rPr>
        <w:t>имуществ</w:t>
      </w:r>
      <w:r>
        <w:rPr>
          <w:sz w:val="24"/>
        </w:rPr>
        <w:t>а</w:t>
      </w:r>
      <w:r>
        <w:rPr>
          <w:sz w:val="24"/>
        </w:rPr>
        <w:t xml:space="preserve"> оставлено без движения, так как и</w:t>
      </w:r>
      <w:r>
        <w:rPr>
          <w:sz w:val="24"/>
        </w:rPr>
        <w:t xml:space="preserve">стец </w:t>
      </w:r>
      <w:r>
        <w:rPr>
          <w:sz w:val="24"/>
        </w:rPr>
        <w:t>не предостави</w:t>
      </w:r>
      <w:r>
        <w:rPr>
          <w:sz w:val="24"/>
        </w:rPr>
        <w:t>л</w:t>
      </w:r>
      <w:r>
        <w:rPr>
          <w:sz w:val="24"/>
        </w:rPr>
        <w:t xml:space="preserve"> доказательства, подтверждающие обстоятельства, изложенные в исковом заявлении, а именно: </w:t>
      </w:r>
      <w:r>
        <w:rPr>
          <w:sz w:val="24"/>
        </w:rPr>
        <w:t xml:space="preserve">расчет задолженности, договор личного страхования, договор о предоставлении и обслуживании карты; договор залога, условия предоставления и обслуживания кредитов «Русский стандарт», тарифы по картам «Русский стандарт»; тарифы ЗАО «Банк Русский стандарт» по кредитам  «Русский стандарт» в рамках договора о карте; условия предоставления и обслуживания карт «Русский стандарт, дополнительное соглашение  №1 от 30.05.2023, документы, подтверждающие надлежащее исполнение условий договора цессии ООО «ПКО «Феникс» об оплате договора. Для устранения недостатков Истцу предоставлен срок по 21.01.2025. </w:t>
      </w:r>
    </w:p>
    <w:p w14:paraId="3E000000">
      <w:pPr>
        <w:ind w:firstLine="709" w:left="0" w:right="-1"/>
        <w:jc w:val="both"/>
        <w:rPr>
          <w:sz w:val="24"/>
        </w:rPr>
      </w:pPr>
      <w:r>
        <w:rPr>
          <w:sz w:val="24"/>
        </w:rPr>
        <w:t>И</w:t>
      </w:r>
      <w:r>
        <w:rPr>
          <w:sz w:val="24"/>
        </w:rPr>
        <w:t>сков</w:t>
      </w:r>
      <w:r>
        <w:rPr>
          <w:sz w:val="24"/>
        </w:rPr>
        <w:t xml:space="preserve">ое </w:t>
      </w:r>
      <w:r>
        <w:rPr>
          <w:sz w:val="24"/>
        </w:rPr>
        <w:t>заявлени</w:t>
      </w:r>
      <w:r>
        <w:rPr>
          <w:sz w:val="24"/>
        </w:rPr>
        <w:t>е</w:t>
      </w:r>
      <w:r>
        <w:rPr>
          <w:sz w:val="24"/>
        </w:rPr>
        <w:t xml:space="preserve"> </w:t>
      </w:r>
      <w:r>
        <w:rPr>
          <w:sz w:val="24"/>
        </w:rPr>
        <w:t>ООО ПКО «Голиаф» к М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о взыскании задолженности по кредитному договору</w:t>
      </w:r>
      <w:r>
        <w:rPr>
          <w:sz w:val="24"/>
        </w:rPr>
        <w:t xml:space="preserve"> </w:t>
      </w:r>
      <w:r>
        <w:rPr>
          <w:sz w:val="24"/>
        </w:rPr>
        <w:t>оставлен</w:t>
      </w:r>
      <w:r>
        <w:rPr>
          <w:sz w:val="24"/>
        </w:rPr>
        <w:t>о</w:t>
      </w:r>
      <w:r>
        <w:rPr>
          <w:sz w:val="24"/>
        </w:rPr>
        <w:t xml:space="preserve"> без движения, а в дальнейшем возвращен</w:t>
      </w:r>
      <w:r>
        <w:rPr>
          <w:sz w:val="24"/>
        </w:rPr>
        <w:t>о</w:t>
      </w:r>
      <w:r>
        <w:rPr>
          <w:sz w:val="24"/>
        </w:rPr>
        <w:t xml:space="preserve"> заявителю. В нарушение требований ст.ст. 131, 132 ГПК РФ истцом не предоставлены: расчет задолженности в соответствии с требованиями законодательства, Общие условия потребительского кредита, Тарифы банка и Обязательные условия, являющиеся неотъемлемой частью кредитного договора.    </w:t>
      </w:r>
    </w:p>
    <w:p w14:paraId="3F000000">
      <w:pPr>
        <w:pStyle w:val="Style_5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Административное исковое заявление Ф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к ФСИН России о признании незаконным решения </w:t>
      </w:r>
      <w:r>
        <w:rPr>
          <w:rFonts w:ascii="Times New Roman" w:hAnsi="Times New Roman"/>
          <w:sz w:val="24"/>
        </w:rPr>
        <w:t>и возложении обязанности</w:t>
      </w:r>
      <w:r>
        <w:rPr>
          <w:rFonts w:ascii="Times New Roman" w:hAnsi="Times New Roman"/>
          <w:sz w:val="24"/>
        </w:rPr>
        <w:t xml:space="preserve"> подано в суд без соблюдения требования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"consultantplus://offline/ref=EE4A6DAEAC665100985AD9669CD528A2EBF6979B233076FA262AA9B43174C7CE1ACB033704C2CD21i8w8J" \o ""Кодекс административного судопроизводства Российской Федерации" от 08.03.2015 N 21-ФЗ (ред. от 29.06.2015){КонсультантПлюс}"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статей 125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"consultantplus://offline/ref=EE4A6DAEAC665100985AD9669CD528A2EBF6979B233076FA262AA9B43174C7CE1ACB033704C2CD23i8wAJ" \o ""Кодекс административного судопроизводства Российской Федерации" от 08.03.2015 N 21-ФЗ (ред. от 29.06.2015){КонсультантПлюс}"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126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6"/>
        </w:rPr>
        <w:t>КАС РФ.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 заявлению не </w:t>
      </w:r>
      <w:r>
        <w:rPr>
          <w:rFonts w:ascii="Times New Roman" w:hAnsi="Times New Roman"/>
          <w:sz w:val="24"/>
        </w:rPr>
        <w:t>прилож</w:t>
      </w:r>
      <w:r>
        <w:rPr>
          <w:rFonts w:ascii="Times New Roman" w:hAnsi="Times New Roman"/>
          <w:sz w:val="24"/>
        </w:rPr>
        <w:t>ены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документы, подтверждающие обстоятельства, на которых административный истец основывает свои требования, </w:t>
      </w:r>
      <w:r>
        <w:rPr>
          <w:rFonts w:ascii="Times New Roman" w:hAnsi="Times New Roman"/>
          <w:sz w:val="24"/>
        </w:rPr>
        <w:t>уведомлени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 вручении или иные документы, подтверждающие вручение другим лицам, участвующим в деле</w:t>
      </w:r>
      <w:r>
        <w:rPr>
          <w:rFonts w:ascii="Times New Roman" w:hAnsi="Times New Roman"/>
          <w:sz w:val="24"/>
        </w:rPr>
        <w:t xml:space="preserve"> копий административного искового заявления и приложенных к нему документов. Также Ф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не указывает наименование, номер и дату принятия оспариваемого решения.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арушения не устранены и заявление возвращено заявителю. </w:t>
      </w:r>
    </w:p>
    <w:p w14:paraId="40000000">
      <w:pPr>
        <w:ind w:firstLine="540" w:left="0" w:right="-1"/>
        <w:jc w:val="both"/>
        <w:rPr>
          <w:sz w:val="24"/>
        </w:rPr>
      </w:pPr>
      <w:r>
        <w:rPr>
          <w:sz w:val="24"/>
        </w:rPr>
        <w:t xml:space="preserve">В соответствии с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"consultantplus://offline/ref=134B339AAE8AECEEF410A95DEEDD9CE7D8B183D623C038D03CF2BCCB76ABED459277C00284CABE81A290A86E06910DBEE6F77AF838C7592FC1dBK" \o ""Кодекс административного судопроизводства Российской Федерации" от 08.03.2015 N 21-ФЗ (ред. от 30.12.2015)------------ Недействующая редакция{КонсультантПлюс}"</w:instrText>
      </w:r>
      <w:r>
        <w:rPr>
          <w:sz w:val="24"/>
        </w:rPr>
        <w:fldChar w:fldCharType="separate"/>
      </w:r>
      <w:r>
        <w:rPr>
          <w:sz w:val="24"/>
        </w:rPr>
        <w:t>п.5 ст.287</w:t>
      </w:r>
      <w:r>
        <w:rPr>
          <w:sz w:val="24"/>
        </w:rPr>
        <w:fldChar w:fldCharType="end"/>
      </w:r>
      <w:r>
        <w:rPr>
          <w:sz w:val="24"/>
        </w:rPr>
        <w:t xml:space="preserve"> КАС РФ, административное исковое заявление о взыскании обязательных платежей и санкций должно быть оформлено в соответствии с требованиями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"consultantplus://offline/ref=134B339AAE8AECEEF410A95DEEDD9CE7D8B183D623C038D03CF2BCCB76ABED459277C00284CBBF80A890A86E06910DBEE6F77AF838C7592FC1dBK" \o ""Кодекс административного судопроизводства Российской Федерации" от 08.03.2015 N 21-ФЗ (ред. от 30.12.2015)------------ Недействующая редакция{КонсультантПлюс}"</w:instrText>
      </w:r>
      <w:r>
        <w:rPr>
          <w:sz w:val="24"/>
        </w:rPr>
        <w:fldChar w:fldCharType="separate"/>
      </w:r>
      <w:r>
        <w:rPr>
          <w:sz w:val="24"/>
        </w:rPr>
        <w:t>части 1 статьи 125</w:t>
      </w:r>
      <w:r>
        <w:rPr>
          <w:sz w:val="24"/>
        </w:rPr>
        <w:fldChar w:fldCharType="end"/>
      </w:r>
      <w:r>
        <w:rPr>
          <w:sz w:val="24"/>
        </w:rPr>
        <w:t xml:space="preserve"> настоящего Кодекса. В административном исковом заявлении должны быть указаны размер и расчет денежной суммы, составляющей санкцию, если она имеет имущественный характер, и положения нормативного правового акта, устанавливающие санкцию. Кроме того, в административном исковом заявлении должны быть указаны, в числе иных сведений, размер денежной суммы, составляющей платеж, и ее расчет (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"consultantplus://offline/ref=AEDB029ABF26FB46FD6FDE67CA0194BCFC7B52E32ACF218FBDCB9DA214C278BCA78D393276BFA8CC393DDD946CE974532404C4644A20400CV1Z8K" \o ""Кодекс административного судопроизводства Российской Федерации" от 08.03.2015 N 21-ФЗ (ред. от 30.12.2015)------------ Недействующая редакция{КонсультантПлюс}"</w:instrText>
      </w:r>
      <w:r>
        <w:rPr>
          <w:sz w:val="24"/>
        </w:rPr>
        <w:fldChar w:fldCharType="separate"/>
      </w:r>
      <w:r>
        <w:rPr>
          <w:sz w:val="24"/>
        </w:rPr>
        <w:t>п. 2 ч. 1 ст. 287</w:t>
      </w:r>
      <w:r>
        <w:rPr>
          <w:sz w:val="24"/>
        </w:rPr>
        <w:fldChar w:fldCharType="end"/>
      </w:r>
      <w:r>
        <w:rPr>
          <w:sz w:val="24"/>
        </w:rPr>
        <w:t xml:space="preserve"> Кодекса административного судопроизводства Российской Федерации). Названные требования не выполнены УФНС России по Курганской области по заявлению о взыскании обязательных платежей к З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В установленный срок н</w:t>
      </w:r>
      <w:r>
        <w:rPr>
          <w:sz w:val="24"/>
        </w:rPr>
        <w:t>арушения устранены</w:t>
      </w:r>
      <w:r>
        <w:rPr>
          <w:sz w:val="24"/>
        </w:rPr>
        <w:t xml:space="preserve"> и</w:t>
      </w:r>
      <w:r>
        <w:rPr>
          <w:sz w:val="24"/>
        </w:rPr>
        <w:t xml:space="preserve"> заявление принято к производству суда. </w:t>
      </w:r>
    </w:p>
    <w:p w14:paraId="41000000">
      <w:pPr>
        <w:pStyle w:val="Style_5"/>
        <w:widowControl w:val="1"/>
        <w:ind w:firstLine="540" w:left="0"/>
        <w:jc w:val="both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Анализ практики применения судьями Мокроусовского районного суда Курганской области ст. ст. 134-136 ГПК РФ, ст.ст. 128-130 КАС РФ показал, что в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году </w:t>
      </w:r>
      <w:r>
        <w:rPr>
          <w:rFonts w:ascii="Times New Roman" w:hAnsi="Times New Roman"/>
          <w:sz w:val="24"/>
        </w:rPr>
        <w:t>число</w:t>
      </w:r>
      <w:r>
        <w:rPr>
          <w:rFonts w:ascii="Times New Roman" w:hAnsi="Times New Roman"/>
          <w:sz w:val="24"/>
        </w:rPr>
        <w:t xml:space="preserve"> поступивших в суд заявлений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уменьшилось</w:t>
      </w:r>
      <w:r>
        <w:rPr>
          <w:rFonts w:ascii="Times New Roman" w:hAnsi="Times New Roman"/>
          <w:sz w:val="24"/>
        </w:rPr>
        <w:t xml:space="preserve">, при этом </w:t>
      </w:r>
      <w:r>
        <w:rPr>
          <w:rFonts w:ascii="Times New Roman" w:hAnsi="Times New Roman"/>
          <w:sz w:val="24"/>
        </w:rPr>
        <w:t>в сравнении с 202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годом, в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году</w:t>
      </w:r>
      <w:r>
        <w:rPr>
          <w:rFonts w:ascii="Times New Roman" w:hAnsi="Times New Roman"/>
          <w:sz w:val="24"/>
        </w:rPr>
        <w:t xml:space="preserve"> доля вынесенных определений об оставлении исковых заявлений без движения снизилась на 2%, доля определений об отказе в принятии заявлений осталась на прежнем уровне, </w:t>
      </w:r>
      <w:r>
        <w:rPr>
          <w:rFonts w:ascii="Times New Roman" w:hAnsi="Times New Roman"/>
          <w:sz w:val="24"/>
        </w:rPr>
        <w:t xml:space="preserve">доля вынесенных определений о возвращении заявителю </w:t>
      </w:r>
      <w:r>
        <w:rPr>
          <w:rFonts w:ascii="Times New Roman" w:hAnsi="Times New Roman"/>
          <w:sz w:val="24"/>
        </w:rPr>
        <w:t xml:space="preserve">увеличилась </w:t>
      </w:r>
      <w:r>
        <w:rPr>
          <w:rFonts w:ascii="Times New Roman" w:hAnsi="Times New Roman"/>
          <w:sz w:val="24"/>
        </w:rPr>
        <w:t>на 2%</w:t>
      </w:r>
      <w:r>
        <w:rPr>
          <w:rFonts w:ascii="Times New Roman" w:hAnsi="Times New Roman"/>
          <w:sz w:val="24"/>
        </w:rPr>
        <w:t>.</w:t>
      </w:r>
    </w:p>
    <w:p w14:paraId="42000000">
      <w:pPr>
        <w:pStyle w:val="Style_5"/>
        <w:widowControl w:val="1"/>
        <w:ind w:firstLine="0" w:left="0"/>
        <w:jc w:val="both"/>
        <w:outlineLvl w:val="3"/>
        <w:rPr>
          <w:rFonts w:ascii="Times New Roman" w:hAnsi="Times New Roman"/>
          <w:sz w:val="24"/>
        </w:rPr>
      </w:pPr>
    </w:p>
    <w:p w14:paraId="43000000">
      <w:pPr>
        <w:ind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Помощник судьи  Прокопьева Н.Н. </w:t>
      </w:r>
    </w:p>
    <w:p w14:paraId="44000000">
      <w:pPr>
        <w:pStyle w:val="Style_5"/>
        <w:widowControl w:val="1"/>
        <w:ind w:firstLine="0" w:left="0"/>
        <w:jc w:val="both"/>
        <w:outlineLvl w:val="3"/>
        <w:rPr>
          <w:sz w:val="16"/>
        </w:rPr>
      </w:pPr>
    </w:p>
    <w:sectPr>
      <w:headerReference r:id="rId1" w:type="default"/>
      <w:pgSz w:h="16840" w:orient="portrait" w:w="11907"/>
      <w:pgMar w:bottom="568" w:footer="720" w:gutter="0" w:header="720" w:left="1247" w:right="96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ody Text"/>
    <w:basedOn w:val="Style_6"/>
    <w:link w:val="Style_11_ch"/>
    <w:pPr>
      <w:ind/>
      <w:jc w:val="center"/>
    </w:pPr>
  </w:style>
  <w:style w:styleId="Style_11_ch" w:type="character">
    <w:name w:val="Body Text"/>
    <w:basedOn w:val="Style_6_ch"/>
    <w:link w:val="Style_11"/>
  </w:style>
  <w:style w:styleId="Style_12" w:type="paragraph">
    <w:name w:val="heading 3"/>
    <w:basedOn w:val="Style_6"/>
    <w:next w:val="Style_6"/>
    <w:link w:val="Style_12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2_ch" w:type="character">
    <w:name w:val="heading 3"/>
    <w:basedOn w:val="Style_6_ch"/>
    <w:link w:val="Style_12"/>
    <w:rPr>
      <w:b w:val="1"/>
      <w:sz w:val="16"/>
    </w:rPr>
  </w:style>
  <w:style w:styleId="Style_5" w:type="paragraph">
    <w:name w:val="ConsPlusNormal"/>
    <w:link w:val="Style_5_ch"/>
    <w:pPr>
      <w:widowControl w:val="0"/>
      <w:ind w:firstLine="720" w:left="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1" w:type="paragraph">
    <w:name w:val="page number"/>
    <w:basedOn w:val="Style_13"/>
    <w:link w:val="Style_1_ch"/>
  </w:style>
  <w:style w:styleId="Style_1_ch" w:type="character">
    <w:name w:val="page number"/>
    <w:basedOn w:val="Style_13_ch"/>
    <w:link w:val="Style_1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" w:type="paragraph">
    <w:name w:val="header"/>
    <w:basedOn w:val="Style_6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6_ch"/>
    <w:link w:val="Style_2"/>
    <w:rPr>
      <w:sz w:val="20"/>
    </w:rPr>
  </w:style>
  <w:style w:styleId="Style_14" w:type="paragraph">
    <w:name w:val="Body Text Indent 3"/>
    <w:basedOn w:val="Style_6"/>
    <w:link w:val="Style_14_ch"/>
    <w:pPr>
      <w:ind w:firstLine="851" w:left="0"/>
      <w:jc w:val="both"/>
    </w:pPr>
  </w:style>
  <w:style w:styleId="Style_14_ch" w:type="character">
    <w:name w:val="Body Text Indent 3"/>
    <w:basedOn w:val="Style_6_ch"/>
    <w:link w:val="Style_14"/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ody Text Indent"/>
    <w:basedOn w:val="Style_6"/>
    <w:link w:val="Style_16_ch"/>
    <w:pPr>
      <w:ind w:hanging="1418" w:left="1418"/>
      <w:jc w:val="both"/>
    </w:pPr>
    <w:rPr>
      <w:sz w:val="24"/>
    </w:rPr>
  </w:style>
  <w:style w:styleId="Style_16_ch" w:type="character">
    <w:name w:val="Body Text Indent"/>
    <w:basedOn w:val="Style_6_ch"/>
    <w:link w:val="Style_16"/>
    <w:rPr>
      <w:sz w:val="24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6"/>
    <w:next w:val="Style_6"/>
    <w:link w:val="Style_18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8_ch" w:type="character">
    <w:name w:val="heading 1"/>
    <w:basedOn w:val="Style_6_ch"/>
    <w:link w:val="Style_18"/>
    <w:rPr>
      <w:b w:val="1"/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6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6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6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ody Text Indent 2"/>
    <w:basedOn w:val="Style_6"/>
    <w:link w:val="Style_25_ch"/>
    <w:pPr>
      <w:ind w:hanging="1418" w:left="1418"/>
      <w:jc w:val="both"/>
    </w:pPr>
  </w:style>
  <w:style w:styleId="Style_25_ch" w:type="character">
    <w:name w:val="Body Text Indent 2"/>
    <w:basedOn w:val="Style_6_ch"/>
    <w:link w:val="Style_25"/>
  </w:style>
  <w:style w:styleId="Style_26" w:type="paragraph">
    <w:name w:val="Body Text 2"/>
    <w:basedOn w:val="Style_6"/>
    <w:link w:val="Style_26_ch"/>
    <w:pPr>
      <w:spacing w:after="120" w:line="480" w:lineRule="auto"/>
      <w:ind/>
    </w:pPr>
  </w:style>
  <w:style w:styleId="Style_26_ch" w:type="character">
    <w:name w:val="Body Text 2"/>
    <w:basedOn w:val="Style_6_ch"/>
    <w:link w:val="Style_26"/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footer"/>
    <w:basedOn w:val="Style_6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6_ch"/>
    <w:link w:val="Style_28"/>
  </w:style>
  <w:style w:styleId="Style_29" w:type="paragraph">
    <w:name w:val="Balloon Text"/>
    <w:basedOn w:val="Style_6"/>
    <w:link w:val="Style_29_ch"/>
    <w:rPr>
      <w:rFonts w:ascii="Tahoma" w:hAnsi="Tahoma"/>
      <w:sz w:val="16"/>
    </w:rPr>
  </w:style>
  <w:style w:styleId="Style_29_ch" w:type="character">
    <w:name w:val="Balloon Text"/>
    <w:basedOn w:val="Style_6_ch"/>
    <w:link w:val="Style_29"/>
    <w:rPr>
      <w:rFonts w:ascii="Tahoma" w:hAnsi="Tahoma"/>
      <w:sz w:val="16"/>
    </w:rPr>
  </w:style>
  <w:style w:styleId="Style_30" w:type="paragraph">
    <w:name w:val="Subtitle"/>
    <w:next w:val="Style_6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6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6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6"/>
    <w:next w:val="Style_6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6_ch"/>
    <w:link w:val="Style_33"/>
    <w:rPr>
      <w:b w:val="1"/>
      <w:sz w:val="20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2025-02-10T04:18:12Z</dcterms:modified>
</cp:coreProperties>
</file>