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ind w:right="-709"/>
      </w:pPr>
      <w:r>
        <w:t xml:space="preserve"> </w:t>
      </w:r>
    </w:p>
    <w:p w14:paraId="03000000">
      <w:pPr>
        <w:ind w:firstLine="709" w:left="0"/>
        <w:jc w:val="both"/>
      </w:pPr>
      <w:r>
        <w:t xml:space="preserve">За 6 месяцев 2025 года Мокроусовским районным судом Курганской области рассмотрено 12 уголовных дел, из них 2 дела возвращены прокурору для устранения препятствий их рассмотрения судом на основании п. 1 ч. 1 ст. 237 УПК РФ. </w:t>
      </w:r>
    </w:p>
    <w:p w14:paraId="04000000">
      <w:pPr>
        <w:ind w:firstLine="709" w:left="0"/>
        <w:jc w:val="both"/>
      </w:pPr>
      <w:r>
        <w:t>Из 10 уголовных дел, рассмотренных за 6 месяцев 2025 года, 1 уголовное дело рассмотрено в первом судебном заседании, что составляет 10% от общего количества рассмотренных уголовных дел.</w:t>
      </w:r>
    </w:p>
    <w:p w14:paraId="05000000">
      <w:pPr>
        <w:ind w:firstLine="709" w:left="0"/>
        <w:jc w:val="both"/>
      </w:pPr>
      <w:r>
        <w:t>По 9 уголовным делам рассмотрение дел откладывалось 30 раз, в 1 случае ввиду срыва судебного заседания.</w:t>
      </w:r>
    </w:p>
    <w:p w14:paraId="06000000">
      <w:pPr>
        <w:ind w:firstLine="709" w:left="0"/>
        <w:jc w:val="both"/>
      </w:pPr>
      <w:r>
        <w:t>За 6 месяцев 2024 года Мокроусовским районным судом Курганской области рассмотрено 19 уголовных дел, 12 уголовных дел рассмотрены в первом судебном заседании, что составляет 63% от общего количества рассмотренных уголовных дел.</w:t>
      </w:r>
    </w:p>
    <w:p w14:paraId="07000000">
      <w:pPr>
        <w:ind w:firstLine="708" w:left="0"/>
        <w:jc w:val="both"/>
      </w:pPr>
      <w:r>
        <w:t xml:space="preserve">В первом полугодии 2025 года по причине неявки подсудимого, судебные заседания откладывались 1 раз, что составляет 100% от общего количества срывов. </w:t>
      </w:r>
    </w:p>
    <w:p w14:paraId="08000000">
      <w:pPr>
        <w:ind w:firstLine="708" w:left="0"/>
        <w:jc w:val="both"/>
      </w:pPr>
      <w:r>
        <w:t>В первом полугодии 2024 года отложено также одно судебное заседание ввиду неявки подсудимого, что составило 100% от общего количества срывов.</w:t>
      </w:r>
    </w:p>
    <w:p w14:paraId="09000000">
      <w:pPr>
        <w:ind w:firstLine="708" w:left="0"/>
        <w:jc w:val="both"/>
      </w:pPr>
      <w:r>
        <w:t>Во втором квартале 2025 года судебные заседания переносились 23 раза,  в 1 случае в виду  срыва судебного заседания</w:t>
      </w:r>
    </w:p>
    <w:p w14:paraId="0A000000">
      <w:pPr>
        <w:ind w:firstLine="709" w:left="0"/>
        <w:jc w:val="both"/>
      </w:pPr>
      <w:r>
        <w:t xml:space="preserve"> Так, слушание по уголовному делу 1-4/2025 в отношении В</w:t>
      </w:r>
      <w:r>
        <w:t>., обвиняемого в</w:t>
      </w:r>
      <w:r>
        <w:t xml:space="preserve"> совершении преступлений, предусмотренных п. «а» ч. 3 ст. 158, п.п. «а, б» ч. 2 ст. 158, п. «а» ч. 3 ст. 158 УК РФ, М</w:t>
      </w:r>
      <w:r>
        <w:t>.</w:t>
      </w:r>
      <w:r>
        <w:t>, обвиняемого в совершении преступлений, предусмотренных п. «а» ч. 3 ст. 158, п.п. «а, б» ч. 2 ст. 158, п. «а» ч. 3 ст. 158, п. «в» ч. 2 ст. 158 УК РФ, было перенесено, так как на рассмотрение дела не явились подсудимые и законный представитель. О рассмотрении дела В</w:t>
      </w:r>
      <w:r>
        <w:t>.</w:t>
      </w:r>
      <w:r>
        <w:t xml:space="preserve"> был извещен надлежащим образом, а М</w:t>
      </w:r>
      <w:r>
        <w:t xml:space="preserve">. </w:t>
      </w:r>
      <w:r>
        <w:t>и его законный представить Б</w:t>
      </w:r>
      <w:r>
        <w:t>.</w:t>
      </w:r>
      <w:r>
        <w:t xml:space="preserve"> согласно данным АО Почта России, постановление о назначении судебного заседания не получали. В связи с чем, председательствующим было постановлено отложить судебное разбирательство, а вызов всех участников процесса повторить. 02.04.2025 дело рассмотрено по существу, вынесен обвинительный приговор.</w:t>
      </w:r>
    </w:p>
    <w:p w14:paraId="0B000000">
      <w:pPr>
        <w:ind w:firstLine="709" w:left="0"/>
        <w:jc w:val="both"/>
      </w:pPr>
      <w:r>
        <w:t xml:space="preserve"> По причинам, не являющимся срывом судебного заседания, за обобщаемый период, 22 судебных заседания были перенесены по следующим причинам:</w:t>
      </w:r>
    </w:p>
    <w:p w14:paraId="0C000000">
      <w:pPr>
        <w:ind w:firstLine="709" w:left="0"/>
        <w:jc w:val="both"/>
      </w:pPr>
      <w:r>
        <w:t>- в 6 случаях для вызова в суд дополнительных свидетелей;</w:t>
      </w:r>
    </w:p>
    <w:p w14:paraId="0D000000">
      <w:pPr>
        <w:ind w:firstLine="709" w:left="0"/>
        <w:jc w:val="both"/>
      </w:pPr>
      <w:r>
        <w:t>- в 4 случаях для предоставления доказательств по делу;</w:t>
      </w:r>
    </w:p>
    <w:p w14:paraId="0E000000">
      <w:pPr>
        <w:ind w:firstLine="709" w:left="0"/>
        <w:jc w:val="both"/>
      </w:pPr>
      <w:r>
        <w:t>- в 3 случаях для подготовки к прениям;</w:t>
      </w:r>
    </w:p>
    <w:p w14:paraId="0F000000">
      <w:pPr>
        <w:pStyle w:val="Style_3"/>
        <w:ind w:firstLine="709" w:left="0"/>
      </w:pPr>
      <w:r>
        <w:t>- в 2 случаях, так как изменен порядок производства по делу. Производство в особом порядке прекращено, рассмотрение дела назначено в порядке общего производства;</w:t>
      </w:r>
    </w:p>
    <w:p w14:paraId="10000000">
      <w:pPr>
        <w:ind w:firstLine="709" w:left="0"/>
        <w:jc w:val="both"/>
      </w:pPr>
      <w:r>
        <w:t>- в 2 случаях перенесено судебное заседание по заявлению защитника подсудимого, в связи с его занятостью, участием в другом судебном заседании. Все участники процесса были заранее уведомлены об отложении судебного заседания;</w:t>
      </w:r>
    </w:p>
    <w:p w14:paraId="11000000">
      <w:pPr>
        <w:ind w:firstLine="709" w:left="0"/>
        <w:jc w:val="both"/>
      </w:pPr>
      <w:r>
        <w:t xml:space="preserve">- в 2 случаях удовлетворено ходатайство подсудимого, в </w:t>
      </w:r>
      <w:r>
        <w:t>связи с тем, что он находился на работе вахтовым методом и не имел возможности прибыть в судебное заседание;</w:t>
      </w:r>
    </w:p>
    <w:p w14:paraId="12000000">
      <w:pPr>
        <w:ind w:firstLine="709" w:left="0"/>
        <w:jc w:val="both"/>
      </w:pPr>
      <w:r>
        <w:t>- в 1 случае в связи с болезнью подсудимого и нахождением его на стационарном лечении в больнице;</w:t>
      </w:r>
    </w:p>
    <w:p w14:paraId="13000000">
      <w:pPr>
        <w:ind w:firstLine="709" w:left="0"/>
        <w:jc w:val="both"/>
      </w:pPr>
      <w:r>
        <w:t xml:space="preserve">- в 1 случае в связи с назначением автотехнической судебной экспертизы; </w:t>
      </w:r>
    </w:p>
    <w:p w14:paraId="14000000">
      <w:pPr>
        <w:ind w:firstLine="709" w:left="0"/>
        <w:jc w:val="both"/>
      </w:pPr>
      <w:r>
        <w:t>- в 1 случае удовлетворено ходатайство государственного обвинителя об отложении судебного заседания, в связи с тем, что уголовное дело представляет большой объем.</w:t>
      </w:r>
    </w:p>
    <w:p w14:paraId="15000000">
      <w:pPr>
        <w:ind w:firstLine="709" w:left="0"/>
        <w:jc w:val="both"/>
      </w:pPr>
      <w:r>
        <w:t>По рассмотренным уголовным делам в первом пол</w:t>
      </w:r>
      <w:r>
        <w:t xml:space="preserve">угодии 2025 года, судьями Мокроусовского районного суда вынесено 1 постановление о принудительном приводе в отношении 1 лица, данное постановление исполнено. </w:t>
      </w:r>
    </w:p>
    <w:p w14:paraId="16000000">
      <w:pPr>
        <w:ind w:firstLine="709" w:left="0"/>
        <w:jc w:val="both"/>
      </w:pPr>
      <w:r>
        <w:t xml:space="preserve">В первом полугодии 2025 года Мокроусовским районным судом Курганской области окончено 84 гражданских дела, 24 административных дела и  17 дел об административных правонарушениях. По данным делам проведено 190 судебных заседаний, из них 57 - по причине отложения.      </w:t>
      </w:r>
    </w:p>
    <w:p w14:paraId="17000000">
      <w:pPr>
        <w:ind w:firstLine="709" w:left="0"/>
        <w:jc w:val="both"/>
      </w:pPr>
      <w:r>
        <w:t xml:space="preserve">В сравнении с первым полугодием 2024 года доля отложений в общем количестве проведенных судебных заседаний по указанным делам увеличилась. </w:t>
      </w:r>
    </w:p>
    <w:p w14:paraId="18000000">
      <w:pPr>
        <w:pStyle w:val="Style_3"/>
        <w:ind w:firstLine="709" w:left="0"/>
      </w:pPr>
      <w:r>
        <w:t>За обобщаемый период из числа отложенных судебных процессов 57 судебных заседаний было перенесено по следующим причинам:</w:t>
      </w:r>
    </w:p>
    <w:p w14:paraId="19000000">
      <w:pPr>
        <w:pStyle w:val="Style_3"/>
        <w:ind w:firstLine="709" w:left="0"/>
      </w:pPr>
      <w:r>
        <w:t>- в 13 случаях в связи с подачей измененного (уточненного) искового заявления;</w:t>
      </w:r>
    </w:p>
    <w:p w14:paraId="1A000000">
      <w:pPr>
        <w:pStyle w:val="Style_3"/>
        <w:ind w:firstLine="709" w:left="0"/>
      </w:pPr>
      <w:r>
        <w:t>- в 1 случае в связи с назначением экспертизы;</w:t>
      </w:r>
    </w:p>
    <w:p w14:paraId="1B000000">
      <w:pPr>
        <w:pStyle w:val="Style_3"/>
        <w:ind w:firstLine="709" w:left="0"/>
      </w:pPr>
      <w:r>
        <w:t>- в 15 случаях в связи с привлечением третьего (заинтересованного) лица;</w:t>
      </w:r>
    </w:p>
    <w:p w14:paraId="1C000000">
      <w:pPr>
        <w:pStyle w:val="Style_3"/>
        <w:ind w:firstLine="709" w:left="0"/>
        <w:jc w:val="left"/>
      </w:pPr>
      <w:r>
        <w:t>- в 13   случаях    удовлетворено    ходатайство    участников    процесса   об   отложении судебного заседания;</w:t>
      </w:r>
    </w:p>
    <w:p w14:paraId="1D000000">
      <w:pPr>
        <w:pStyle w:val="Style_3"/>
        <w:ind w:firstLine="709" w:left="0"/>
      </w:pPr>
      <w:r>
        <w:t>- в 3 случаях ввиду истребования дополнительных доказательств по делу;</w:t>
      </w:r>
    </w:p>
    <w:p w14:paraId="1E000000">
      <w:pPr>
        <w:pStyle w:val="Style_3"/>
        <w:ind w:firstLine="709" w:left="0"/>
      </w:pPr>
      <w:r>
        <w:t>- в 3 случаях в связи с привлечением соответчика (соистца).</w:t>
      </w:r>
    </w:p>
    <w:p w14:paraId="1F000000">
      <w:pPr>
        <w:pStyle w:val="Style_3"/>
        <w:ind w:firstLine="709" w:left="0"/>
      </w:pPr>
      <w:r>
        <w:t>Из общего количества отложенных судебных заседаний за анализируемый период времени в 9 случаях произошли срывы, причиной которых послужила неявка сторон.</w:t>
      </w:r>
    </w:p>
    <w:p w14:paraId="20000000">
      <w:pPr>
        <w:ind w:firstLine="709" w:left="0"/>
        <w:jc w:val="both"/>
      </w:pPr>
      <w:r>
        <w:t>Так, по делу №2-85/2025, по исковому заявлению ОАО «Современные коммунальные системы» к наследственному имуществу после смерти К</w:t>
      </w:r>
      <w:r>
        <w:t xml:space="preserve">. </w:t>
      </w:r>
      <w:r>
        <w:t>о взыскании задолженности по оплате коммунальных услуг, судебное заседание, назначенное на 07.05.2025, отложено на 21.05.2025 в связи с тем, что в судебное заседание не явился представитель истца, не просивший суд о рассмотрении дела в его отсутствие.  21.05.2025 по данному делу вынесено решение.</w:t>
      </w:r>
    </w:p>
    <w:p w14:paraId="21000000">
      <w:pPr>
        <w:ind w:firstLine="709" w:left="0"/>
        <w:jc w:val="both"/>
      </w:pPr>
      <w:r>
        <w:t xml:space="preserve">По делу №2-78/2025, </w:t>
      </w:r>
      <w:r>
        <w:t>по исковому заявлению акционерного общества «Энергосбытовая компания «Восток» к А</w:t>
      </w:r>
      <w:r>
        <w:t xml:space="preserve">., </w:t>
      </w:r>
      <w:r>
        <w:t>А</w:t>
      </w:r>
      <w:r>
        <w:t xml:space="preserve">., </w:t>
      </w:r>
      <w:r>
        <w:t>А</w:t>
      </w:r>
      <w:r>
        <w:t xml:space="preserve">. </w:t>
      </w:r>
      <w:r>
        <w:rPr>
          <w:sz w:val="26"/>
        </w:rPr>
        <w:t>о взыскании задолженности за потребленную электрическую энергию</w:t>
      </w:r>
      <w:r>
        <w:rPr>
          <w:sz w:val="26"/>
        </w:rPr>
        <w:t xml:space="preserve">, </w:t>
      </w:r>
      <w:r>
        <w:t>судебное заседание, назначенное на 12.05.2025, отложено на 16.05.2025 в связи с тем, что в судебное заседание не явился представитель истца, не просивший суд о рассмотрении дела в его отсутствие. 16.05.2025 по данному делу вынесено решение.</w:t>
      </w:r>
    </w:p>
    <w:p w14:paraId="22000000">
      <w:pPr>
        <w:ind w:firstLine="708" w:left="0"/>
        <w:jc w:val="both"/>
      </w:pPr>
      <w:r>
        <w:t>Для сокращения числа срывов судебных процессов, судьями и работниками аппарата суда принимаются все возможные меры. При проведении подготовки дела к судебному заседанию судья  определяет  круг доказательств,  а также разъясняет сторонам обязанность доказывания тех или иных обстоятельств, последствия непредставления доказательств; истребует все необходимые доказательства по делу, которые должны быть предоставлены до проведения слушания дела;  в целях закрепления распорядительных  действий сторон, назначает  предварительное судебное заседание; слушание дел назначается на определенные дни с учетом мнения сторон. Кроме того, у участников процесса отбирается согласие на извещение о судебном заседании посредством СМС - извещений; контролируется своевременное направление всем участникам процесса повесток и СМС - извещений с указанием даты и времени проведения судебного заседания. Также, накануне судебного заседания, участникам судебного процесса, имеющим телефон, напоминается о предстоящем судебном заседании.</w:t>
      </w:r>
    </w:p>
    <w:p w14:paraId="23000000">
      <w:pPr>
        <w:ind w:firstLine="708" w:left="0"/>
        <w:jc w:val="both"/>
      </w:pPr>
    </w:p>
    <w:p w14:paraId="24000000">
      <w:pPr>
        <w:ind/>
        <w:jc w:val="right"/>
      </w:pPr>
      <w:r>
        <w:t>Помощник судьи Н.Н.Прокопьева</w:t>
      </w:r>
    </w:p>
    <w:p w14:paraId="25000000">
      <w:pPr>
        <w:ind/>
        <w:jc w:val="right"/>
        <w:rPr>
          <w:sz w:val="16"/>
        </w:rPr>
      </w:pPr>
    </w:p>
    <w:sectPr>
      <w:headerReference r:id="rId1" w:type="default"/>
      <w:pgSz w:h="16840" w:orient="portrait" w:w="11907"/>
      <w:pgMar w:bottom="1134" w:footer="720" w:gutter="0" w:header="720" w:left="1247" w:right="964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rPr>
        <w:rStyle w:val="Style_1_ch"/>
      </w:rPr>
      <w:fldChar w:fldCharType="begin"/>
    </w:r>
    <w:r>
      <w:rPr>
        <w:rStyle w:val="Style_1_ch"/>
      </w:rPr>
      <w:instrText xml:space="preserve">PAGE </w:instrText>
    </w:r>
    <w:r>
      <w:rPr>
        <w:rStyle w:val="Style_1_ch"/>
      </w:rPr>
      <w:fldChar w:fldCharType="separate"/>
    </w:r>
    <w:r>
      <w:rPr>
        <w:rStyle w:val="Style_1_ch"/>
      </w:rPr>
      <w:fldChar w:fldCharType="end"/>
    </w:r>
  </w:p>
  <w:p w14:paraId="01000000">
    <w:pPr>
      <w:pStyle w:val="Style_2"/>
      <w:ind w:right="360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mirrorMargins/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8"/>
    </w:rPr>
  </w:style>
  <w:style w:default="1" w:styleId="Style_4_ch" w:type="character">
    <w:name w:val="Normal"/>
    <w:link w:val="Style_4"/>
    <w:rPr>
      <w:sz w:val="28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heading 3"/>
    <w:basedOn w:val="Style_4"/>
    <w:next w:val="Style_4"/>
    <w:link w:val="Style_9_ch"/>
    <w:uiPriority w:val="9"/>
    <w:qFormat/>
    <w:pPr>
      <w:keepNext w:val="1"/>
      <w:ind/>
      <w:jc w:val="center"/>
      <w:outlineLvl w:val="2"/>
    </w:pPr>
    <w:rPr>
      <w:b w:val="1"/>
      <w:sz w:val="16"/>
    </w:rPr>
  </w:style>
  <w:style w:styleId="Style_9_ch" w:type="character">
    <w:name w:val="heading 3"/>
    <w:basedOn w:val="Style_4_ch"/>
    <w:link w:val="Style_9"/>
    <w:rPr>
      <w:b w:val="1"/>
      <w:sz w:val="16"/>
    </w:rPr>
  </w:style>
  <w:style w:styleId="Style_10" w:type="paragraph">
    <w:name w:val="Body Text Indent 2"/>
    <w:basedOn w:val="Style_4"/>
    <w:link w:val="Style_10_ch"/>
    <w:pPr>
      <w:ind w:hanging="1418" w:left="1418"/>
      <w:jc w:val="both"/>
    </w:pPr>
  </w:style>
  <w:style w:styleId="Style_10_ch" w:type="character">
    <w:name w:val="Body Text Indent 2"/>
    <w:basedOn w:val="Style_4_ch"/>
    <w:link w:val="Style_10"/>
  </w:style>
  <w:style w:styleId="Style_11" w:type="paragraph">
    <w:name w:val="Body Text Indent"/>
    <w:basedOn w:val="Style_4"/>
    <w:link w:val="Style_11_ch"/>
    <w:pPr>
      <w:ind w:hanging="1418" w:left="1418"/>
      <w:jc w:val="both"/>
    </w:pPr>
    <w:rPr>
      <w:sz w:val="24"/>
    </w:rPr>
  </w:style>
  <w:style w:styleId="Style_11_ch" w:type="character">
    <w:name w:val="Body Text Indent"/>
    <w:basedOn w:val="Style_4_ch"/>
    <w:link w:val="Style_11"/>
    <w:rPr>
      <w:sz w:val="24"/>
    </w:rPr>
  </w:style>
  <w:style w:styleId="Style_12" w:type="paragraph">
    <w:name w:val="footer"/>
    <w:basedOn w:val="Style_4"/>
    <w:link w:val="Style_12_ch"/>
    <w:pPr>
      <w:tabs>
        <w:tab w:leader="none" w:pos="4677" w:val="center"/>
        <w:tab w:leader="none" w:pos="9355" w:val="right"/>
      </w:tabs>
      <w:ind/>
    </w:pPr>
  </w:style>
  <w:style w:styleId="Style_12_ch" w:type="character">
    <w:name w:val="footer"/>
    <w:basedOn w:val="Style_4_ch"/>
    <w:link w:val="Style_12"/>
  </w:style>
  <w:style w:styleId="Style_13" w:type="paragraph">
    <w:name w:val="Body Text 2"/>
    <w:basedOn w:val="Style_4"/>
    <w:link w:val="Style_13_ch"/>
    <w:pPr>
      <w:spacing w:after="120" w:line="480" w:lineRule="auto"/>
      <w:ind/>
    </w:pPr>
  </w:style>
  <w:style w:styleId="Style_13_ch" w:type="character">
    <w:name w:val="Body Text 2"/>
    <w:basedOn w:val="Style_4_ch"/>
    <w:link w:val="Style_13"/>
  </w:style>
  <w:style w:styleId="Style_14" w:type="paragraph">
    <w:name w:val="toc 3"/>
    <w:next w:val="Style_4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next w:val="Style_4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3" w:type="paragraph">
    <w:name w:val="Body Text Indent 3"/>
    <w:basedOn w:val="Style_4"/>
    <w:link w:val="Style_3_ch"/>
    <w:pPr>
      <w:ind w:firstLine="851" w:left="0"/>
      <w:jc w:val="both"/>
    </w:pPr>
  </w:style>
  <w:style w:styleId="Style_3_ch" w:type="character">
    <w:name w:val="Body Text Indent 3"/>
    <w:basedOn w:val="Style_4_ch"/>
    <w:link w:val="Style_3"/>
  </w:style>
  <w:style w:styleId="Style_16" w:type="paragraph">
    <w:name w:val="heading 1"/>
    <w:basedOn w:val="Style_4"/>
    <w:next w:val="Style_4"/>
    <w:link w:val="Style_16_ch"/>
    <w:uiPriority w:val="9"/>
    <w:qFormat/>
    <w:pPr>
      <w:keepNext w:val="1"/>
      <w:ind/>
      <w:jc w:val="center"/>
      <w:outlineLvl w:val="0"/>
    </w:pPr>
    <w:rPr>
      <w:b w:val="1"/>
      <w:sz w:val="20"/>
    </w:rPr>
  </w:style>
  <w:style w:styleId="Style_16_ch" w:type="character">
    <w:name w:val="heading 1"/>
    <w:basedOn w:val="Style_4_ch"/>
    <w:link w:val="Style_16"/>
    <w:rPr>
      <w:b w:val="1"/>
      <w:sz w:val="20"/>
    </w:rPr>
  </w:style>
  <w:style w:styleId="Style_17" w:type="paragraph">
    <w:name w:val="Body Text"/>
    <w:basedOn w:val="Style_4"/>
    <w:link w:val="Style_17_ch"/>
    <w:pPr>
      <w:ind/>
      <w:jc w:val="center"/>
    </w:pPr>
  </w:style>
  <w:style w:styleId="Style_17_ch" w:type="character">
    <w:name w:val="Body Text"/>
    <w:basedOn w:val="Style_4_ch"/>
    <w:link w:val="Style_17"/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4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0"/>
    </w:rPr>
  </w:style>
  <w:style w:styleId="Style_21_ch" w:type="character">
    <w:name w:val="Header and Footer"/>
    <w:link w:val="Style_21"/>
    <w:rPr>
      <w:rFonts w:ascii="XO Thames" w:hAnsi="XO Thames"/>
      <w:sz w:val="20"/>
    </w:rPr>
  </w:style>
  <w:style w:styleId="Style_22" w:type="paragraph">
    <w:name w:val=" Знак Знак Знак Знак Знак Знак"/>
    <w:basedOn w:val="Style_4"/>
    <w:link w:val="Style_22_ch"/>
    <w:pPr>
      <w:spacing w:after="160" w:line="240" w:lineRule="exact"/>
      <w:ind/>
    </w:pPr>
    <w:rPr>
      <w:sz w:val="24"/>
    </w:rPr>
  </w:style>
  <w:style w:styleId="Style_22_ch" w:type="character">
    <w:name w:val=" Знак Знак Знак Знак Знак Знак"/>
    <w:basedOn w:val="Style_4_ch"/>
    <w:link w:val="Style_22"/>
    <w:rPr>
      <w:sz w:val="24"/>
    </w:rPr>
  </w:style>
  <w:style w:styleId="Style_23" w:type="paragraph">
    <w:name w:val=" Знак Знак Знак Знак Знак Знак Знак Знак Знак Знак"/>
    <w:basedOn w:val="Style_4"/>
    <w:link w:val="Style_23_ch"/>
    <w:pPr>
      <w:spacing w:after="160" w:line="240" w:lineRule="exact"/>
      <w:ind/>
    </w:pPr>
    <w:rPr>
      <w:sz w:val="24"/>
    </w:rPr>
  </w:style>
  <w:style w:styleId="Style_23_ch" w:type="character">
    <w:name w:val=" Знак Знак Знак Знак Знак Знак Знак Знак Знак Знак"/>
    <w:basedOn w:val="Style_4_ch"/>
    <w:link w:val="Style_23"/>
    <w:rPr>
      <w:sz w:val="24"/>
    </w:rPr>
  </w:style>
  <w:style w:styleId="Style_24" w:type="paragraph">
    <w:name w:val="toc 9"/>
    <w:next w:val="Style_4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4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 Знак Знак1 Знак Знак Знак Знак Знак Знак Знак Знак Знак Знак Знак Знак Знак Знак1"/>
    <w:basedOn w:val="Style_4"/>
    <w:link w:val="Style_26_ch"/>
    <w:pPr>
      <w:spacing w:after="160" w:line="240" w:lineRule="exact"/>
      <w:ind/>
    </w:pPr>
    <w:rPr>
      <w:sz w:val="24"/>
    </w:rPr>
  </w:style>
  <w:style w:styleId="Style_26_ch" w:type="character">
    <w:name w:val=" Знак Знак1 Знак Знак Знак Знак Знак Знак Знак Знак Знак Знак Знак Знак Знак Знак1"/>
    <w:basedOn w:val="Style_4_ch"/>
    <w:link w:val="Style_26"/>
    <w:rPr>
      <w:sz w:val="24"/>
    </w:rPr>
  </w:style>
  <w:style w:styleId="Style_27" w:type="paragraph">
    <w:name w:val="toc 5"/>
    <w:next w:val="Style_4"/>
    <w:link w:val="Style_2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" w:type="paragraph">
    <w:name w:val="header"/>
    <w:basedOn w:val="Style_4"/>
    <w:link w:val="Style_2_ch"/>
    <w:pPr>
      <w:tabs>
        <w:tab w:leader="none" w:pos="4153" w:val="center"/>
        <w:tab w:leader="none" w:pos="8306" w:val="right"/>
      </w:tabs>
      <w:ind/>
    </w:pPr>
    <w:rPr>
      <w:sz w:val="20"/>
    </w:rPr>
  </w:style>
  <w:style w:styleId="Style_2_ch" w:type="character">
    <w:name w:val="header"/>
    <w:basedOn w:val="Style_4_ch"/>
    <w:link w:val="Style_2"/>
    <w:rPr>
      <w:sz w:val="20"/>
    </w:rPr>
  </w:style>
  <w:style w:styleId="Style_28" w:type="paragraph">
    <w:name w:val="Subtitle"/>
    <w:next w:val="Style_4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Title"/>
    <w:next w:val="Style_4"/>
    <w:link w:val="Style_2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4"/>
    <w:link w:val="Style_3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Default Paragraph Font"/>
    <w:link w:val="Style_31_ch"/>
  </w:style>
  <w:style w:styleId="Style_31_ch" w:type="character">
    <w:name w:val="Default Paragraph Font"/>
    <w:link w:val="Style_31"/>
  </w:style>
  <w:style w:styleId="Style_1" w:type="paragraph">
    <w:name w:val="page number"/>
    <w:basedOn w:val="Style_31"/>
    <w:link w:val="Style_1_ch"/>
  </w:style>
  <w:style w:styleId="Style_1_ch" w:type="character">
    <w:name w:val="page number"/>
    <w:basedOn w:val="Style_31_ch"/>
    <w:link w:val="Style_1"/>
  </w:style>
  <w:style w:styleId="Style_32" w:type="paragraph">
    <w:name w:val="Balloon Text"/>
    <w:basedOn w:val="Style_4"/>
    <w:link w:val="Style_32_ch"/>
    <w:rPr>
      <w:rFonts w:ascii="Tahoma" w:hAnsi="Tahoma"/>
      <w:sz w:val="16"/>
    </w:rPr>
  </w:style>
  <w:style w:styleId="Style_32_ch" w:type="character">
    <w:name w:val="Balloon Text"/>
    <w:basedOn w:val="Style_4_ch"/>
    <w:link w:val="Style_32"/>
    <w:rPr>
      <w:rFonts w:ascii="Tahoma" w:hAnsi="Tahoma"/>
      <w:sz w:val="16"/>
    </w:rPr>
  </w:style>
  <w:style w:styleId="Style_33" w:type="paragraph">
    <w:name w:val="heading 2"/>
    <w:basedOn w:val="Style_4"/>
    <w:next w:val="Style_4"/>
    <w:link w:val="Style_33_ch"/>
    <w:uiPriority w:val="9"/>
    <w:qFormat/>
    <w:pPr>
      <w:keepNext w:val="1"/>
      <w:ind w:firstLine="336" w:left="0"/>
      <w:outlineLvl w:val="1"/>
    </w:pPr>
    <w:rPr>
      <w:b w:val="1"/>
      <w:sz w:val="20"/>
    </w:rPr>
  </w:style>
  <w:style w:styleId="Style_33_ch" w:type="character">
    <w:name w:val="heading 2"/>
    <w:basedOn w:val="Style_4_ch"/>
    <w:link w:val="Style_33"/>
    <w:rPr>
      <w:b w:val="1"/>
      <w:sz w:val="20"/>
    </w:rPr>
  </w:style>
  <w:style w:styleId="Style_34" w:type="table">
    <w:name w:val="Table Grid"/>
    <w:basedOn w:val="Style_35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2025-07-15T10:25:50Z</dcterms:modified>
</cp:coreProperties>
</file>