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</w:pPr>
      <w:r>
        <w:t>Сведения об отложении судебных заседаний по уголовным и гражданским (административным) делам и делам</w:t>
      </w:r>
      <w:r>
        <w:t xml:space="preserve"> об административных правонарушениях в Мокроусовском районном суде Курганской области за </w:t>
      </w:r>
      <w:r>
        <w:t>2024 год</w:t>
      </w:r>
      <w:r>
        <w:t>.</w:t>
      </w:r>
    </w:p>
    <w:p w14:paraId="03000000">
      <w:pPr>
        <w:ind/>
        <w:jc w:val="center"/>
      </w:pPr>
    </w:p>
    <w:p w14:paraId="04000000">
      <w:pPr>
        <w:ind w:firstLine="709" w:left="0"/>
        <w:jc w:val="both"/>
      </w:pPr>
      <w:r>
        <w:t xml:space="preserve">В 2024 году в Мокроусовском районном суде имеет место отложения судебных заседаний по 14 уголовным делам, рассмотрение которых откладывалось 35 раз, при этом в 2 случаях ввиду срыва судебного заседания. </w:t>
      </w:r>
    </w:p>
    <w:p w14:paraId="05000000">
      <w:pPr>
        <w:ind w:firstLine="709" w:left="0"/>
        <w:jc w:val="both"/>
      </w:pPr>
      <w:r>
        <w:t>По причине срыва судебные заседания в четвертом квартале 2024 года не переносились.</w:t>
      </w:r>
    </w:p>
    <w:p w14:paraId="06000000">
      <w:pPr>
        <w:ind w:firstLine="709" w:left="0"/>
        <w:jc w:val="both"/>
      </w:pPr>
      <w:r>
        <w:t>Из 35 уголовных дел, рассмотренных в 2024 году, 21 уголовное дело рассмотрено на первом судебном заседании, что составляет 60% от общего количества рассмотренных уголовных дел.</w:t>
      </w:r>
    </w:p>
    <w:p w14:paraId="07000000">
      <w:pPr>
        <w:ind w:firstLine="709" w:left="0"/>
        <w:jc w:val="both"/>
      </w:pPr>
      <w:r>
        <w:t>В 2023 году на первом судебном заседании рассмотрено 22 уголовных дела или 46% от общего количества рассмотренных уголовных дел (48).</w:t>
      </w:r>
    </w:p>
    <w:p w14:paraId="08000000">
      <w:pPr>
        <w:ind w:firstLine="709" w:left="0"/>
        <w:jc w:val="both"/>
      </w:pPr>
      <w:r>
        <w:t xml:space="preserve">Основной и единственной причиной срывов в 2024 году явилась неявка подсудимого. По данной причине судебные заседания откладывались 2 раза, что составило 100% от общего количества срывов. </w:t>
      </w:r>
    </w:p>
    <w:p w14:paraId="09000000">
      <w:pPr>
        <w:ind w:firstLine="709" w:left="0"/>
        <w:jc w:val="both"/>
      </w:pPr>
      <w:r>
        <w:t xml:space="preserve">В 2023 году рассмотрение дел по причине срывов переносилось 7 раз, из них 3 раза ввиду неявки подсудимого, составив 43% от общего количества срывов, 3 раза по причине неявки иных участников судебного разбирательства, составив также 43% от общего количества срывов и в 1 случае ввиду </w:t>
      </w:r>
      <w:r>
        <w:t>неэтапирования</w:t>
      </w:r>
      <w:r>
        <w:t xml:space="preserve"> лиц, содержащихся под стражей, что составило 14% от общего количества срывов.</w:t>
      </w:r>
    </w:p>
    <w:p w14:paraId="0A000000">
      <w:pPr>
        <w:ind w:firstLine="709" w:left="0"/>
        <w:jc w:val="both"/>
      </w:pPr>
      <w:r>
        <w:t xml:space="preserve">Причины срывов отражены в справке за 2 и 3 квартал 2024 года. </w:t>
      </w:r>
    </w:p>
    <w:p w14:paraId="0B000000">
      <w:pPr>
        <w:ind w:firstLine="709" w:left="0"/>
        <w:jc w:val="both"/>
      </w:pPr>
      <w:r>
        <w:t xml:space="preserve">В 2024 году по причинам, не являющимся срывом судебного заседания, рассмотрение дел откладывалось 33 раза, из них 1 раз в четвертом квартале 2024 года.   </w:t>
      </w:r>
    </w:p>
    <w:p w14:paraId="0C000000">
      <w:pPr>
        <w:ind w:firstLine="709" w:left="0"/>
        <w:jc w:val="both"/>
      </w:pPr>
      <w:r>
        <w:t xml:space="preserve">Судебное заседание перенесено по ходатайству государственного обвинителя для  предоставления дополнительных доказательств по делу. </w:t>
      </w:r>
    </w:p>
    <w:p w14:paraId="0D000000">
      <w:pPr>
        <w:ind w:firstLine="709" w:left="0"/>
        <w:jc w:val="both"/>
      </w:pPr>
      <w:r>
        <w:t xml:space="preserve"> По рассмотренным уголовным делам за 2024 год судьями Мокроусовского районного суда вынесено 2 постановления о принудительном приводе в отношении 2 лиц, 1 постановление осталось не исполнено в связи с непроживанием подсудимого по указанному адресу.</w:t>
      </w:r>
    </w:p>
    <w:p w14:paraId="0E000000">
      <w:pPr>
        <w:ind w:firstLine="709" w:left="0"/>
        <w:jc w:val="both"/>
      </w:pPr>
      <w:r>
        <w:t>Следует отметить, что при рассмотрении  уголовных дел во всех случаях повестки сторонам с указанием места и времени судебного разбирательства направляются работниками аппарата суда своевременно. Для предотвращения отложений судебных заседаний судьями, работниками аппарата суда осуществляется взаимодействие с сотрудниками Отделения Полиции «Мокроусовское», с  Мокроусовским РО СП УФССП по Курганской  области, также  участникам судопроизводства направляются СМС - извещения в соответствии с действующим законодательством.</w:t>
      </w:r>
    </w:p>
    <w:p w14:paraId="0F000000">
      <w:pPr>
        <w:ind w:firstLine="709" w:left="0"/>
        <w:jc w:val="both"/>
      </w:pPr>
      <w:r>
        <w:t>В 202</w:t>
      </w:r>
      <w:r>
        <w:t>4</w:t>
      </w:r>
      <w:r>
        <w:t xml:space="preserve"> году Мокроусовским районным судом Курганской области окончено </w:t>
      </w:r>
      <w:r>
        <w:t>167</w:t>
      </w:r>
      <w:r>
        <w:t xml:space="preserve"> гражданских дел, </w:t>
      </w:r>
      <w:r>
        <w:t>68</w:t>
      </w:r>
      <w:r>
        <w:t xml:space="preserve"> </w:t>
      </w:r>
      <w:r>
        <w:t xml:space="preserve">административных дел и </w:t>
      </w:r>
      <w:r>
        <w:t>75</w:t>
      </w:r>
      <w:r>
        <w:t xml:space="preserve"> дел об административных правонарушениях. По данным делам </w:t>
      </w:r>
      <w:r>
        <w:t xml:space="preserve">проведено </w:t>
      </w:r>
      <w:r>
        <w:t>368</w:t>
      </w:r>
      <w:r>
        <w:t xml:space="preserve"> судебных заседани</w:t>
      </w:r>
      <w:r>
        <w:t>й</w:t>
      </w:r>
      <w:r>
        <w:t>, из них 5</w:t>
      </w:r>
      <w:r>
        <w:t>8</w:t>
      </w:r>
      <w:r>
        <w:t xml:space="preserve"> </w:t>
      </w:r>
      <w:r>
        <w:t>- по причине отложения</w:t>
      </w:r>
      <w:r>
        <w:t>.</w:t>
      </w:r>
    </w:p>
    <w:p w14:paraId="10000000">
      <w:pPr>
        <w:ind w:firstLine="709" w:left="0"/>
        <w:jc w:val="both"/>
      </w:pPr>
      <w:r>
        <w:t xml:space="preserve">В </w:t>
      </w:r>
      <w:r>
        <w:t>четвертом</w:t>
      </w:r>
      <w:r>
        <w:t xml:space="preserve"> квартале 2024 года судебные заседания переносились 1</w:t>
      </w:r>
      <w:r>
        <w:t>9</w:t>
      </w:r>
      <w:r>
        <w:t xml:space="preserve"> раз,  в </w:t>
      </w:r>
      <w:r>
        <w:t>3</w:t>
      </w:r>
      <w:r>
        <w:t xml:space="preserve"> случаях ввиду срыва судебного заседания, причиной которых послужила неявка сторон.</w:t>
      </w:r>
    </w:p>
    <w:p w14:paraId="11000000">
      <w:pPr>
        <w:pStyle w:val="Style_3"/>
        <w:ind w:firstLine="709" w:left="0"/>
      </w:pPr>
      <w:r>
        <w:t xml:space="preserve">За обобщаемый период из числа отложенных судебных процессов, </w:t>
      </w:r>
      <w:r>
        <w:t>16</w:t>
      </w:r>
      <w:r>
        <w:t xml:space="preserve"> судебных заседани</w:t>
      </w:r>
      <w:r>
        <w:t>я</w:t>
      </w:r>
      <w:r>
        <w:t xml:space="preserve"> было перенесено по следующим</w:t>
      </w:r>
      <w:r>
        <w:t xml:space="preserve"> причинам:</w:t>
      </w:r>
    </w:p>
    <w:p w14:paraId="12000000">
      <w:pPr>
        <w:pStyle w:val="Style_3"/>
        <w:ind w:firstLine="709" w:left="0"/>
      </w:pPr>
      <w:r>
        <w:t>- в 1 случае в связи с принятием встречного искового заявления;</w:t>
      </w:r>
    </w:p>
    <w:p w14:paraId="13000000">
      <w:pPr>
        <w:pStyle w:val="Style_3"/>
        <w:ind w:firstLine="709" w:left="0"/>
      </w:pPr>
      <w:r>
        <w:t>- в 1 случае для разрешения ходатайства о продлении срока экспертизы;</w:t>
      </w:r>
    </w:p>
    <w:p w14:paraId="14000000">
      <w:pPr>
        <w:pStyle w:val="Style_3"/>
        <w:ind w:firstLine="709" w:left="0"/>
      </w:pPr>
      <w:r>
        <w:t>- в 1 случае в связи с направлением судебного поручения;</w:t>
      </w:r>
      <w:r>
        <w:t xml:space="preserve"> </w:t>
      </w:r>
    </w:p>
    <w:p w14:paraId="15000000">
      <w:pPr>
        <w:pStyle w:val="Style_3"/>
        <w:ind w:firstLine="709" w:left="0"/>
      </w:pPr>
      <w:r>
        <w:t xml:space="preserve">- в 1 случае удовлетворено ходатайство представителя ответчика </w:t>
      </w:r>
      <w:r>
        <w:t>об</w:t>
      </w:r>
      <w:r>
        <w:t xml:space="preserve"> </w:t>
      </w:r>
    </w:p>
    <w:p w14:paraId="16000000">
      <w:pPr>
        <w:pStyle w:val="Style_3"/>
        <w:ind w:firstLine="709" w:left="0"/>
      </w:pPr>
      <w:r>
        <w:t xml:space="preserve">  </w:t>
      </w:r>
      <w:r>
        <w:t>отложении</w:t>
      </w:r>
      <w:r>
        <w:t xml:space="preserve"> судебного заседания;</w:t>
      </w:r>
    </w:p>
    <w:p w14:paraId="17000000">
      <w:pPr>
        <w:pStyle w:val="Style_3"/>
        <w:ind w:firstLine="709" w:left="0"/>
      </w:pPr>
      <w:r>
        <w:t>- в</w:t>
      </w:r>
      <w:r>
        <w:t xml:space="preserve"> 3 </w:t>
      </w:r>
      <w:r>
        <w:t>случаях в связи с назначением экспертизы;</w:t>
      </w:r>
    </w:p>
    <w:p w14:paraId="18000000">
      <w:pPr>
        <w:pStyle w:val="Style_3"/>
        <w:ind w:firstLine="709" w:left="0"/>
      </w:pPr>
      <w:r>
        <w:t>- в 3 случаях ввиду истребования дополнительных доказательств по делу;</w:t>
      </w:r>
    </w:p>
    <w:p w14:paraId="19000000">
      <w:pPr>
        <w:pStyle w:val="Style_3"/>
        <w:ind w:firstLine="709" w:left="0"/>
      </w:pPr>
      <w:r>
        <w:t xml:space="preserve">- в  </w:t>
      </w:r>
      <w:r>
        <w:t xml:space="preserve">6 </w:t>
      </w:r>
      <w:r>
        <w:t>случаях в связи с привлечением третьего лица</w:t>
      </w:r>
      <w:r>
        <w:t>.</w:t>
      </w:r>
    </w:p>
    <w:p w14:paraId="1A000000">
      <w:pPr>
        <w:pStyle w:val="Style_3"/>
        <w:ind w:firstLine="709" w:left="0"/>
      </w:pPr>
    </w:p>
    <w:p w14:paraId="1B000000">
      <w:pPr>
        <w:ind w:firstLine="709" w:left="0"/>
        <w:jc w:val="both"/>
      </w:pPr>
      <w:r>
        <w:t>Так, по делам  №2-230/2024 и 2-231/2024, по исковым заявлениям В</w:t>
      </w:r>
      <w:r>
        <w:t>.</w:t>
      </w:r>
      <w:r>
        <w:t xml:space="preserve"> и Д</w:t>
      </w:r>
      <w:r>
        <w:t xml:space="preserve">. </w:t>
      </w:r>
      <w:r>
        <w:t xml:space="preserve"> к Ш</w:t>
      </w:r>
      <w:r>
        <w:t>.</w:t>
      </w:r>
      <w:r>
        <w:t xml:space="preserve"> о взыскании долга по договору займа и обращении взыскания на заложенное имущество,  24.10.2024  судебные заседания отложены на 06.11.2024 в связи с тем, что не явились истцы и ответчик, не просившие о рассмотрении дела в их отсутствие. 06.11.2024 данные исковые заявления оставлены без рассмотрения ввиду</w:t>
      </w:r>
      <w:r>
        <w:t xml:space="preserve"> вторичной неявки истца в судебное заседание,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C000000">
      <w:pPr>
        <w:ind w:firstLine="709" w:left="0"/>
        <w:jc w:val="both"/>
      </w:pPr>
      <w:r>
        <w:t>По делу №2-213/2024, по исковому заявлению Т</w:t>
      </w:r>
      <w:r>
        <w:t>.</w:t>
      </w:r>
      <w:r>
        <w:t xml:space="preserve"> к </w:t>
      </w:r>
      <w:r>
        <w:t>К</w:t>
      </w:r>
      <w:r>
        <w:t xml:space="preserve">. </w:t>
      </w:r>
      <w:r>
        <w:t>об ограничении в родительских правах, судебное заседание, назначенное на 16.10.2024, отложено на 24.10.2024 в связи с тем, что в судебное заседание не явился истец, не просивший суд о рассмотрении дела в его отсутствие. 24.10.2024 указанное исковое заявление оставлено без рассмотрения ввиду вторичной неявки в судебное заседание истца, извещенного надлежащим образом</w:t>
      </w:r>
      <w:r>
        <w:t xml:space="preserve"> о дате и времени проведения судебного заседания и не просившего суд о рассмотрении дела в его отсутствие.</w:t>
      </w:r>
    </w:p>
    <w:p w14:paraId="1D000000">
      <w:pPr>
        <w:ind w:firstLine="708" w:left="0"/>
        <w:jc w:val="both"/>
      </w:pPr>
      <w:r>
        <w:t xml:space="preserve">Для сокращения числа срывов судебных процессов, судьями и работниками аппарата суда принимаются все возможные меры. </w:t>
      </w:r>
      <w:r>
        <w:t>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</w:t>
      </w:r>
      <w:r>
        <w:t xml:space="preserve"> Кроме того, у участников процесса отбирается согласие на извещение о судебном заседании посредством СМС - извещений; контролируется своевременное направление </w:t>
      </w:r>
      <w:r>
        <w:t>всем участникам процесса повесток и СМС - извещений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заседании.</w:t>
      </w:r>
    </w:p>
    <w:p w14:paraId="1E000000">
      <w:pPr>
        <w:ind/>
        <w:jc w:val="both"/>
      </w:pPr>
    </w:p>
    <w:p w14:paraId="1F000000">
      <w:pPr>
        <w:ind/>
        <w:jc w:val="right"/>
        <w:rPr>
          <w:sz w:val="16"/>
        </w:rPr>
      </w:pPr>
    </w:p>
    <w:p w14:paraId="20000000">
      <w:pPr>
        <w:ind/>
        <w:jc w:val="right"/>
      </w:pPr>
      <w:r>
        <w:t>Помощник судьи    Н.Н.Прокопьева</w:t>
      </w:r>
    </w:p>
    <w:p w14:paraId="21000000">
      <w:pPr>
        <w:ind/>
        <w:jc w:val="both"/>
        <w:rPr>
          <w:sz w:val="16"/>
        </w:rPr>
      </w:pPr>
    </w:p>
    <w:p w14:paraId="22000000">
      <w:pPr>
        <w:ind/>
        <w:jc w:val="both"/>
        <w:rPr>
          <w:sz w:val="16"/>
        </w:rPr>
      </w:pPr>
    </w:p>
    <w:sectPr>
      <w:headerReference r:id="rId1" w:type="default"/>
      <w:pgSz w:h="16840" w:orient="portrait" w:w="11907"/>
      <w:pgMar w:bottom="1134" w:footer="720" w:gutter="0" w:header="720" w:left="1304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Заголовок 1 Знак"/>
    <w:basedOn w:val="Style_7"/>
    <w:link w:val="Style_6_ch"/>
    <w:rPr>
      <w:b w:val="1"/>
      <w:sz w:val="20"/>
    </w:rPr>
  </w:style>
  <w:style w:styleId="Style_6_ch" w:type="character">
    <w:name w:val="Заголовок 1 Знак"/>
    <w:basedOn w:val="Style_7_ch"/>
    <w:link w:val="Style_6"/>
    <w:rPr>
      <w:b w:val="1"/>
      <w:sz w:val="2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4"/>
    <w:next w:val="Style_4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4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4_ch"/>
    <w:link w:val="Style_2"/>
    <w:rPr>
      <w:sz w:val="20"/>
    </w:rPr>
  </w:style>
  <w:style w:styleId="Style_12" w:type="paragraph">
    <w:name w:val="Body Text"/>
    <w:basedOn w:val="Style_4"/>
    <w:link w:val="Style_12_ch"/>
    <w:pPr>
      <w:ind/>
      <w:jc w:val="center"/>
    </w:pPr>
  </w:style>
  <w:style w:styleId="Style_12_ch" w:type="character">
    <w:name w:val="Body Text"/>
    <w:basedOn w:val="Style_4_ch"/>
    <w:link w:val="Style_12"/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3_ch" w:type="character">
    <w:name w:val="heading 3"/>
    <w:basedOn w:val="Style_4_ch"/>
    <w:link w:val="Style_13"/>
    <w:rPr>
      <w:b w:val="1"/>
      <w:sz w:val="16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toc 3"/>
    <w:next w:val="Style_4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7" w:type="paragraph">
    <w:name w:val="Обычный1"/>
    <w:link w:val="Style_7_ch"/>
    <w:rPr>
      <w:sz w:val="28"/>
    </w:rPr>
  </w:style>
  <w:style w:styleId="Style_7_ch" w:type="character">
    <w:name w:val="Обычный1"/>
    <w:link w:val="Style_7"/>
    <w:rPr>
      <w:sz w:val="2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Balloon Text"/>
    <w:basedOn w:val="Style_4"/>
    <w:link w:val="Style_17_ch"/>
    <w:rPr>
      <w:rFonts w:ascii="Tahoma" w:hAnsi="Tahoma"/>
      <w:sz w:val="16"/>
    </w:rPr>
  </w:style>
  <w:style w:styleId="Style_17_ch" w:type="character">
    <w:name w:val="Balloon Text"/>
    <w:basedOn w:val="Style_4_ch"/>
    <w:link w:val="Style_17"/>
    <w:rPr>
      <w:rFonts w:ascii="Tahoma" w:hAnsi="Tahoma"/>
      <w:sz w:val="16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8_ch" w:type="character">
    <w:name w:val="heading 1"/>
    <w:basedOn w:val="Style_4_ch"/>
    <w:link w:val="Style_18"/>
    <w:rPr>
      <w:b w:val="1"/>
      <w:sz w:val="20"/>
    </w:rPr>
  </w:style>
  <w:style w:styleId="Style_19" w:type="paragraph">
    <w:name w:val="Body Text 2"/>
    <w:basedOn w:val="Style_4"/>
    <w:link w:val="Style_19_ch"/>
    <w:pPr>
      <w:spacing w:after="120" w:line="480" w:lineRule="auto"/>
      <w:ind/>
    </w:pPr>
  </w:style>
  <w:style w:styleId="Style_19_ch" w:type="character">
    <w:name w:val="Body Text 2"/>
    <w:basedOn w:val="Style_4_ch"/>
    <w:link w:val="Style_19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ind/>
      <w:jc w:val="both"/>
    </w:pPr>
    <w:rPr>
      <w:rFonts w:ascii="XO Thames" w:hAnsi="XO Thames"/>
    </w:rPr>
  </w:style>
  <w:style w:styleId="Style_23_ch" w:type="character">
    <w:name w:val="Header and Footer"/>
    <w:link w:val="Style_23"/>
    <w:rPr>
      <w:rFonts w:ascii="XO Thames" w:hAnsi="XO Thames"/>
    </w:rPr>
  </w:style>
  <w:style w:styleId="Style_24" w:type="paragraph">
    <w:name w:val="toc 9"/>
    <w:next w:val="Style_4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Body Text Indent 2"/>
    <w:basedOn w:val="Style_4"/>
    <w:link w:val="Style_25_ch"/>
    <w:pPr>
      <w:ind w:hanging="1418" w:left="1418"/>
      <w:jc w:val="both"/>
    </w:pPr>
  </w:style>
  <w:style w:styleId="Style_25_ch" w:type="character">
    <w:name w:val="Body Text Indent 2"/>
    <w:basedOn w:val="Style_4_ch"/>
    <w:link w:val="Style_25"/>
  </w:style>
  <w:style w:styleId="Style_26" w:type="paragraph">
    <w:name w:val="toc 8"/>
    <w:next w:val="Style_4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1" w:type="paragraph">
    <w:name w:val="Номер страницы1"/>
    <w:basedOn w:val="Style_27"/>
    <w:link w:val="Style_1_ch"/>
  </w:style>
  <w:style w:styleId="Style_1_ch" w:type="character">
    <w:name w:val="Номер страницы1"/>
    <w:basedOn w:val="Style_27_ch"/>
    <w:link w:val="Style_1"/>
  </w:style>
  <w:style w:styleId="Style_28" w:type="paragraph">
    <w:name w:val="footer"/>
    <w:basedOn w:val="Style_4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4_ch"/>
    <w:link w:val="Style_28"/>
  </w:style>
  <w:style w:styleId="Style_29" w:type="paragraph">
    <w:name w:val="Body Text Indent"/>
    <w:basedOn w:val="Style_4"/>
    <w:link w:val="Style_29_ch"/>
    <w:pPr>
      <w:ind w:hanging="1418" w:left="1418"/>
      <w:jc w:val="both"/>
    </w:pPr>
    <w:rPr>
      <w:sz w:val="24"/>
    </w:rPr>
  </w:style>
  <w:style w:styleId="Style_29_ch" w:type="character">
    <w:name w:val="Body Text Indent"/>
    <w:basedOn w:val="Style_4_ch"/>
    <w:link w:val="Style_29"/>
    <w:rPr>
      <w:sz w:val="24"/>
    </w:rPr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30" w:type="paragraph">
    <w:name w:val="toc 5"/>
    <w:next w:val="Style_4"/>
    <w:link w:val="Style_30_ch"/>
    <w:uiPriority w:val="39"/>
    <w:pPr>
      <w:ind w:firstLine="0" w:left="800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next w:val="Style_4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4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4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" w:type="paragraph">
    <w:name w:val="Body Text Indent 3"/>
    <w:basedOn w:val="Style_4"/>
    <w:link w:val="Style_3_ch"/>
    <w:pPr>
      <w:ind w:firstLine="851" w:left="0"/>
      <w:jc w:val="both"/>
    </w:pPr>
  </w:style>
  <w:style w:styleId="Style_3_ch" w:type="character">
    <w:name w:val="Body Text Indent 3"/>
    <w:basedOn w:val="Style_4_ch"/>
    <w:link w:val="Style_3"/>
  </w:style>
  <w:style w:styleId="Style_34" w:type="paragraph">
    <w:name w:val="heading 2"/>
    <w:basedOn w:val="Style_4"/>
    <w:next w:val="Style_4"/>
    <w:link w:val="Style_34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4_ch" w:type="character">
    <w:name w:val="heading 2"/>
    <w:basedOn w:val="Style_4_ch"/>
    <w:link w:val="Style_34"/>
    <w:rPr>
      <w:b w:val="1"/>
      <w:sz w:val="20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6" w:type="table">
    <w:name w:val="Table Grid"/>
    <w:basedOn w:val="Style_35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2025-01-10T10:13:48Z</dcterms:modified>
</cp:coreProperties>
</file>