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pPr>
        <w:pStyle w:val="Style_3"/>
        <w:ind w:firstLine="720" w:left="0"/>
        <w:outlineLvl w:val="0"/>
        <w:rPr>
          <w:rFonts w:ascii="Times New Roman" w:hAnsi="Times New Roman"/>
          <w:sz w:val="20"/>
        </w:rPr>
      </w:pPr>
    </w:p>
    <w:p w14:paraId="03000000">
      <w:pPr>
        <w:pStyle w:val="Style_3"/>
        <w:ind/>
        <w:jc w:val="center"/>
        <w:outlineLvl w:val="0"/>
        <w:rPr>
          <w:rFonts w:ascii="Times New Roman" w:hAnsi="Times New Roman"/>
          <w:b w:val="1"/>
          <w:sz w:val="26"/>
        </w:rPr>
      </w:pPr>
      <w:r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b w:val="1"/>
          <w:sz w:val="26"/>
        </w:rPr>
        <w:t xml:space="preserve">ОБОБЩЕНИЕ </w:t>
      </w:r>
    </w:p>
    <w:p w14:paraId="04000000">
      <w:pPr>
        <w:pStyle w:val="Style_3"/>
        <w:ind/>
        <w:jc w:val="center"/>
        <w:outlineLvl w:val="0"/>
        <w:rPr>
          <w:rFonts w:ascii="Times New Roman" w:hAnsi="Times New Roman"/>
          <w:b w:val="1"/>
          <w:sz w:val="26"/>
        </w:rPr>
      </w:pPr>
      <w:r>
        <w:rPr>
          <w:rFonts w:ascii="Times New Roman" w:hAnsi="Times New Roman"/>
          <w:b w:val="1"/>
          <w:sz w:val="26"/>
        </w:rPr>
        <w:t>судебной практики Мокроусовского районного суда Курганской области  за 1 квартал  2025 года по применению ст.ст. 134-136 ГПК РФ, 128-130 КАС РФ.</w:t>
      </w:r>
    </w:p>
    <w:p w14:paraId="05000000">
      <w:pPr>
        <w:pStyle w:val="Style_3"/>
        <w:ind w:firstLine="567" w:left="0"/>
        <w:jc w:val="both"/>
        <w:rPr>
          <w:rFonts w:ascii="Times New Roman" w:hAnsi="Times New Roman"/>
          <w:sz w:val="26"/>
        </w:rPr>
      </w:pPr>
    </w:p>
    <w:p w14:paraId="06000000">
      <w:pPr>
        <w:pStyle w:val="Style_4"/>
        <w:widowControl w:val="1"/>
        <w:ind w:firstLine="567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С целью обобщения судебной практики изучены определения, вынесенные судьями Мокроусовского районного суда, касающиеся вопросов применения законодательства об отказе в принятии исковых (административных исковых)  заявлений, их возвращении и оставлении без движения.</w:t>
      </w:r>
    </w:p>
    <w:p w14:paraId="07000000">
      <w:pPr>
        <w:ind w:firstLine="540" w:left="0"/>
        <w:jc w:val="both"/>
        <w:rPr>
          <w:sz w:val="26"/>
        </w:rPr>
      </w:pPr>
      <w:r>
        <w:rPr>
          <w:sz w:val="26"/>
        </w:rPr>
        <w:t>Институты отказа в принятии, возвращения и оставления без движения, искового (административного искового) заявления имеют важное значение в рамках реализации права человека на судебную защиту. От правильного применения указанных норм зависит реальная защита прав, свобод и охраняемых законом интересов граждан.</w:t>
      </w:r>
    </w:p>
    <w:p w14:paraId="08000000">
      <w:pPr>
        <w:ind w:firstLine="540" w:left="0"/>
        <w:jc w:val="both"/>
        <w:rPr>
          <w:sz w:val="26"/>
        </w:rPr>
      </w:pPr>
      <w:r>
        <w:rPr>
          <w:sz w:val="26"/>
        </w:rPr>
        <w:t>В первом квартале 2025 года в Мокроусовский районный суд поступило 51 заявление (в первом квартале 2024 года – 79 заявлений).</w:t>
      </w:r>
    </w:p>
    <w:p w14:paraId="09000000">
      <w:pPr>
        <w:ind w:firstLine="540" w:left="0"/>
        <w:jc w:val="both"/>
        <w:rPr>
          <w:sz w:val="26"/>
        </w:rPr>
      </w:pPr>
      <w:r>
        <w:rPr>
          <w:sz w:val="26"/>
        </w:rPr>
        <w:t>Данные о количестве непринятых к рассмотрению, возвращенных и оставленных без движения заявлений можно отразить в приведенной таблице.</w:t>
      </w:r>
    </w:p>
    <w:p w14:paraId="0A000000">
      <w:pPr>
        <w:ind w:firstLine="540" w:left="0"/>
        <w:jc w:val="both"/>
        <w:rPr>
          <w:sz w:val="26"/>
        </w:rPr>
      </w:pPr>
    </w:p>
    <w:tbl>
      <w:tblPr>
        <w:tblStyle w:val="Style_5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1101"/>
        <w:gridCol w:w="1683"/>
        <w:gridCol w:w="1100"/>
        <w:gridCol w:w="760"/>
        <w:gridCol w:w="1201"/>
        <w:gridCol w:w="769"/>
        <w:gridCol w:w="709"/>
        <w:gridCol w:w="850"/>
        <w:gridCol w:w="790"/>
        <w:gridCol w:w="911"/>
      </w:tblGrid>
      <w:tr>
        <w:trPr>
          <w:trHeight w:hRule="atLeast" w:val="924"/>
        </w:trPr>
        <w:tc>
          <w:tcPr>
            <w:tcW w:type="dxa" w:w="110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00000">
            <w:pPr>
              <w:pStyle w:val="Style_4"/>
              <w:widowControl w:val="1"/>
              <w:ind w:firstLine="0" w:left="0"/>
              <w:jc w:val="both"/>
              <w:rPr>
                <w:rFonts w:ascii="Times New Roman" w:hAnsi="Times New Roman"/>
                <w:sz w:val="26"/>
              </w:rPr>
            </w:pPr>
          </w:p>
        </w:tc>
        <w:tc>
          <w:tcPr>
            <w:tcW w:type="dxa" w:w="168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00000">
            <w:pPr>
              <w:pStyle w:val="Style_4"/>
              <w:widowControl w:val="1"/>
              <w:ind w:firstLine="0" w:left="0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Поступило заявлений</w:t>
            </w:r>
          </w:p>
        </w:tc>
        <w:tc>
          <w:tcPr>
            <w:tcW w:type="dxa" w:w="186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00000">
            <w:pPr>
              <w:pStyle w:val="Style_4"/>
              <w:widowControl w:val="1"/>
              <w:ind w:firstLine="0" w:left="0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отказано в принятии (ст. 134 ГПК РФ, ст. 128 КАС РФ)</w:t>
            </w:r>
          </w:p>
        </w:tc>
        <w:tc>
          <w:tcPr>
            <w:tcW w:type="dxa" w:w="197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00000">
            <w:pPr>
              <w:pStyle w:val="Style_4"/>
              <w:widowControl w:val="1"/>
              <w:ind w:firstLine="0" w:left="0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возвращено заявителю (ст.135 ГПК РФ, ст.129 КАС РФ)</w:t>
            </w:r>
          </w:p>
        </w:tc>
        <w:tc>
          <w:tcPr>
            <w:tcW w:type="dxa" w:w="3260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00000">
            <w:pPr>
              <w:pStyle w:val="Style_4"/>
              <w:widowControl w:val="1"/>
              <w:ind w:firstLine="0" w:left="0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оставлено без движения (ст. 136 ГПК РФ, ст. 130 КАС РФ))</w:t>
            </w:r>
          </w:p>
        </w:tc>
      </w:tr>
      <w:tr>
        <w:trPr>
          <w:trHeight w:hRule="atLeast" w:val="366"/>
        </w:trPr>
        <w:tc>
          <w:tcPr>
            <w:tcW w:type="dxa" w:w="11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68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86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97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55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00000">
            <w:pPr>
              <w:pStyle w:val="Style_4"/>
              <w:ind/>
              <w:jc w:val="both"/>
              <w:rPr>
                <w:rFonts w:ascii="Times New Roman" w:hAnsi="Times New Roman"/>
                <w:sz w:val="26"/>
              </w:rPr>
            </w:pPr>
          </w:p>
        </w:tc>
        <w:tc>
          <w:tcPr>
            <w:tcW w:type="dxa" w:w="170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00000">
            <w:pPr>
              <w:pStyle w:val="Style_4"/>
              <w:ind w:firstLine="0" w:left="0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возвращено</w:t>
            </w:r>
          </w:p>
        </w:tc>
      </w:tr>
      <w:tr>
        <w:trPr>
          <w:trHeight w:hRule="atLeast" w:val="366"/>
        </w:trPr>
        <w:tc>
          <w:tcPr>
            <w:tcW w:type="dxa" w:w="1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00000">
            <w:pPr>
              <w:pStyle w:val="Style_4"/>
              <w:widowControl w:val="1"/>
              <w:ind w:firstLine="0" w:left="0"/>
              <w:jc w:val="both"/>
              <w:rPr>
                <w:rFonts w:ascii="Times New Roman" w:hAnsi="Times New Roman"/>
                <w:sz w:val="26"/>
              </w:rPr>
            </w:pPr>
          </w:p>
        </w:tc>
        <w:tc>
          <w:tcPr>
            <w:tcW w:type="dxa" w:w="1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00000">
            <w:pPr>
              <w:pStyle w:val="Style_4"/>
              <w:widowControl w:val="1"/>
              <w:ind w:firstLine="0" w:left="0"/>
              <w:jc w:val="both"/>
              <w:rPr>
                <w:rFonts w:ascii="Times New Roman" w:hAnsi="Times New Roman"/>
                <w:sz w:val="26"/>
              </w:rPr>
            </w:pP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00000">
            <w:pPr>
              <w:pStyle w:val="Style_4"/>
              <w:widowControl w:val="1"/>
              <w:ind w:firstLine="0" w:left="0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кол-во</w:t>
            </w:r>
          </w:p>
        </w:tc>
        <w:tc>
          <w:tcPr>
            <w:tcW w:type="dxa" w:w="7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00000">
            <w:pPr>
              <w:pStyle w:val="Style_4"/>
              <w:widowControl w:val="1"/>
              <w:ind w:firstLine="0" w:left="0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%</w:t>
            </w:r>
          </w:p>
        </w:tc>
        <w:tc>
          <w:tcPr>
            <w:tcW w:type="dxa" w:w="12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00000">
            <w:pPr>
              <w:pStyle w:val="Style_4"/>
              <w:widowControl w:val="1"/>
              <w:ind w:firstLine="0" w:left="0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кол-во</w:t>
            </w:r>
          </w:p>
        </w:tc>
        <w:tc>
          <w:tcPr>
            <w:tcW w:type="dxa" w:w="7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00000">
            <w:pPr>
              <w:pStyle w:val="Style_4"/>
              <w:widowControl w:val="1"/>
              <w:ind w:firstLine="0" w:left="0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%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00000">
            <w:pPr>
              <w:pStyle w:val="Style_4"/>
              <w:widowControl w:val="1"/>
              <w:ind w:firstLine="0" w:left="0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кол-во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00000">
            <w:pPr>
              <w:pStyle w:val="Style_4"/>
              <w:ind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%%</w:t>
            </w:r>
          </w:p>
        </w:tc>
        <w:tc>
          <w:tcPr>
            <w:tcW w:type="dxa" w:w="7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00000">
            <w:pPr>
              <w:pStyle w:val="Style_4"/>
              <w:widowControl w:val="1"/>
              <w:ind w:firstLine="0" w:left="0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кол-во</w:t>
            </w:r>
          </w:p>
        </w:tc>
        <w:tc>
          <w:tcPr>
            <w:tcW w:type="dxa" w:w="9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00000">
            <w:pPr>
              <w:pStyle w:val="Style_4"/>
              <w:ind w:firstLine="0" w:left="0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%</w:t>
            </w:r>
          </w:p>
        </w:tc>
      </w:tr>
      <w:tr>
        <w:tc>
          <w:tcPr>
            <w:tcW w:type="dxa" w:w="1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00000">
            <w:pPr>
              <w:pStyle w:val="Style_4"/>
              <w:widowControl w:val="1"/>
              <w:ind w:firstLine="0" w:left="0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2024</w:t>
            </w:r>
          </w:p>
        </w:tc>
        <w:tc>
          <w:tcPr>
            <w:tcW w:type="dxa" w:w="1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00000">
            <w:pPr>
              <w:pStyle w:val="Style_4"/>
              <w:widowControl w:val="1"/>
              <w:ind w:firstLine="0" w:left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79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00000">
            <w:pPr>
              <w:pStyle w:val="Style_4"/>
              <w:widowControl w:val="1"/>
              <w:ind w:firstLine="0" w:left="0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</w:t>
            </w:r>
          </w:p>
        </w:tc>
        <w:tc>
          <w:tcPr>
            <w:tcW w:type="dxa" w:w="7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00000">
            <w:pPr>
              <w:pStyle w:val="Style_4"/>
              <w:widowControl w:val="1"/>
              <w:ind w:firstLine="0" w:left="0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</w:t>
            </w:r>
          </w:p>
        </w:tc>
        <w:tc>
          <w:tcPr>
            <w:tcW w:type="dxa" w:w="12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00000">
            <w:pPr>
              <w:pStyle w:val="Style_4"/>
              <w:widowControl w:val="1"/>
              <w:ind w:firstLine="0" w:left="0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2</w:t>
            </w:r>
          </w:p>
        </w:tc>
        <w:tc>
          <w:tcPr>
            <w:tcW w:type="dxa" w:w="7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00000">
            <w:pPr>
              <w:pStyle w:val="Style_4"/>
              <w:widowControl w:val="1"/>
              <w:ind w:firstLine="0" w:left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3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00000">
            <w:pPr>
              <w:pStyle w:val="Style_4"/>
              <w:widowControl w:val="1"/>
              <w:ind w:firstLine="0" w:left="0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21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00000">
            <w:pPr>
              <w:pStyle w:val="Style_4"/>
              <w:widowControl w:val="1"/>
              <w:ind w:firstLine="0" w:left="0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27</w:t>
            </w:r>
          </w:p>
        </w:tc>
        <w:tc>
          <w:tcPr>
            <w:tcW w:type="dxa" w:w="7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00000">
            <w:pPr>
              <w:pStyle w:val="Style_4"/>
              <w:widowControl w:val="1"/>
              <w:ind w:firstLine="0" w:left="0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13</w:t>
            </w:r>
          </w:p>
        </w:tc>
        <w:tc>
          <w:tcPr>
            <w:tcW w:type="dxa" w:w="9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00000">
            <w:pPr>
              <w:pStyle w:val="Style_4"/>
              <w:widowControl w:val="1"/>
              <w:ind w:firstLine="0" w:left="0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17</w:t>
            </w:r>
          </w:p>
        </w:tc>
      </w:tr>
      <w:tr>
        <w:tc>
          <w:tcPr>
            <w:tcW w:type="dxa" w:w="1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00000">
            <w:pPr>
              <w:pStyle w:val="Style_4"/>
              <w:widowControl w:val="1"/>
              <w:ind w:firstLine="0" w:left="0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2025 </w:t>
            </w:r>
          </w:p>
        </w:tc>
        <w:tc>
          <w:tcPr>
            <w:tcW w:type="dxa" w:w="1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00000">
            <w:pPr>
              <w:pStyle w:val="Style_4"/>
              <w:widowControl w:val="1"/>
              <w:ind w:firstLine="0" w:left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51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00000">
            <w:pPr>
              <w:pStyle w:val="Style_4"/>
              <w:widowControl w:val="1"/>
              <w:ind w:firstLine="0" w:left="0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0</w:t>
            </w:r>
          </w:p>
        </w:tc>
        <w:tc>
          <w:tcPr>
            <w:tcW w:type="dxa" w:w="7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00000">
            <w:pPr>
              <w:pStyle w:val="Style_4"/>
              <w:widowControl w:val="1"/>
              <w:ind w:firstLine="0" w:left="0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0</w:t>
            </w:r>
          </w:p>
        </w:tc>
        <w:tc>
          <w:tcPr>
            <w:tcW w:type="dxa" w:w="12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00000">
            <w:pPr>
              <w:pStyle w:val="Style_4"/>
              <w:widowControl w:val="1"/>
              <w:ind w:firstLine="0" w:left="0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</w:t>
            </w:r>
          </w:p>
        </w:tc>
        <w:tc>
          <w:tcPr>
            <w:tcW w:type="dxa" w:w="7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00000">
            <w:pPr>
              <w:pStyle w:val="Style_4"/>
              <w:widowControl w:val="1"/>
              <w:ind w:firstLine="0" w:left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00000">
            <w:pPr>
              <w:pStyle w:val="Style_4"/>
              <w:widowControl w:val="1"/>
              <w:ind w:firstLine="0" w:left="0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13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00000">
            <w:pPr>
              <w:pStyle w:val="Style_4"/>
              <w:widowControl w:val="1"/>
              <w:ind w:firstLine="0" w:left="0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26</w:t>
            </w:r>
          </w:p>
        </w:tc>
        <w:tc>
          <w:tcPr>
            <w:tcW w:type="dxa" w:w="7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00000">
            <w:pPr>
              <w:pStyle w:val="Style_4"/>
              <w:widowControl w:val="1"/>
              <w:ind w:firstLine="0" w:left="0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9</w:t>
            </w:r>
          </w:p>
        </w:tc>
        <w:tc>
          <w:tcPr>
            <w:tcW w:type="dxa" w:w="9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00000">
            <w:pPr>
              <w:pStyle w:val="Style_4"/>
              <w:widowControl w:val="1"/>
              <w:ind w:firstLine="0" w:left="0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18</w:t>
            </w:r>
          </w:p>
        </w:tc>
      </w:tr>
    </w:tbl>
    <w:p w14:paraId="30000000">
      <w:pPr>
        <w:pStyle w:val="Style_4"/>
        <w:widowControl w:val="1"/>
        <w:ind w:firstLine="567" w:left="0"/>
        <w:jc w:val="both"/>
        <w:rPr>
          <w:rFonts w:ascii="Times New Roman" w:hAnsi="Times New Roman"/>
          <w:sz w:val="26"/>
        </w:rPr>
      </w:pPr>
    </w:p>
    <w:p w14:paraId="31000000">
      <w:pPr>
        <w:pStyle w:val="Style_4"/>
        <w:widowControl w:val="1"/>
        <w:ind w:firstLine="567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 первом квартале 2025 года определения об отказе в принятии заявлений в Мокроусовском районном суде не выносились (ст.134 ГПК РФ, ст.128 КАС РФ).</w:t>
      </w:r>
    </w:p>
    <w:p w14:paraId="32000000">
      <w:pPr>
        <w:pStyle w:val="Style_4"/>
        <w:widowControl w:val="1"/>
        <w:ind w:firstLine="567" w:left="0"/>
        <w:jc w:val="both"/>
        <w:rPr>
          <w:rFonts w:ascii="Times New Roman" w:hAnsi="Times New Roman"/>
          <w:b w:val="1"/>
          <w:sz w:val="26"/>
        </w:rPr>
      </w:pPr>
    </w:p>
    <w:p w14:paraId="33000000">
      <w:pPr>
        <w:pStyle w:val="Style_4"/>
        <w:widowControl w:val="1"/>
        <w:ind w:firstLine="567" w:left="0"/>
        <w:jc w:val="both"/>
        <w:rPr>
          <w:rFonts w:ascii="Times New Roman" w:hAnsi="Times New Roman"/>
          <w:b w:val="1"/>
          <w:sz w:val="26"/>
        </w:rPr>
      </w:pPr>
      <w:r>
        <w:rPr>
          <w:rFonts w:ascii="Times New Roman" w:hAnsi="Times New Roman"/>
          <w:b w:val="1"/>
          <w:sz w:val="26"/>
        </w:rPr>
        <w:t>Гражданское дело не возбуждается судом в случае нарушения порядка обращения в суд. Правовые последствия несоблюдения установленного порядка предусмотрены в ст.ст. 135-136 ГПК РФ, ст.ст. 129-130 КАС РФ.  Различие последствий между возвращением  заявления и оставлением без движения существенно. Если заявление возвращено, то оно выбыло из сферы действия суда, если же оно оставлено без движения, то исковое заявление находится в суде.</w:t>
      </w:r>
    </w:p>
    <w:p w14:paraId="34000000">
      <w:pPr>
        <w:pStyle w:val="Style_4"/>
        <w:widowControl w:val="1"/>
        <w:ind w:firstLine="540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Согласно ст. 135 ГП РФ, 129 КАС РФ, в первом квартале 2025 года районным судом в адрес заявителя возвращено 1 заявление. </w:t>
      </w:r>
    </w:p>
    <w:p w14:paraId="35000000">
      <w:pPr>
        <w:ind w:firstLine="540" w:left="0"/>
        <w:jc w:val="both"/>
        <w:rPr>
          <w:sz w:val="26"/>
        </w:rPr>
      </w:pPr>
      <w:r>
        <w:rPr>
          <w:sz w:val="26"/>
        </w:rPr>
        <w:t>Исковое заявление П. к К., К. о взыскании денежных средств возвращено заявителю в связи с тем, что в адрес суда от лица, обратившегося в суд, поступило заявление о возвращении иска без рассмотрения. Так как определение о принятии дела не выносилось, на основании ч.1 п. 6  ст. 135 ГПК РФ, судья вернул заявление истцу со всеми приложенными к нему документами.</w:t>
      </w:r>
    </w:p>
    <w:p w14:paraId="36000000">
      <w:pPr>
        <w:ind w:firstLine="709" w:left="0"/>
        <w:jc w:val="both"/>
        <w:rPr>
          <w:b w:val="1"/>
          <w:sz w:val="26"/>
        </w:rPr>
      </w:pPr>
    </w:p>
    <w:p w14:paraId="37000000">
      <w:pPr>
        <w:ind w:firstLine="709" w:left="0"/>
        <w:jc w:val="both"/>
        <w:rPr>
          <w:b w:val="1"/>
          <w:sz w:val="26"/>
        </w:rPr>
      </w:pPr>
      <w:r>
        <w:rPr>
          <w:b w:val="1"/>
          <w:sz w:val="26"/>
        </w:rPr>
        <w:t xml:space="preserve">Если при рассмотрении поступивших материалов устанавливалось, что исковое заявление по форме и содержанию не соответствует требованиям ст. 131 ГПК РФ либо к нему не приложены документы из числа указанных в ст. 132 ГПК РФ,  судья оставлял исковое заявление без движения. </w:t>
      </w:r>
    </w:p>
    <w:p w14:paraId="38000000">
      <w:pPr>
        <w:pStyle w:val="Style_4"/>
        <w:widowControl w:val="1"/>
        <w:ind w:firstLine="567" w:left="0"/>
        <w:jc w:val="both"/>
        <w:rPr>
          <w:rFonts w:ascii="Times New Roman" w:hAnsi="Times New Roman"/>
          <w:b w:val="1"/>
          <w:sz w:val="26"/>
        </w:rPr>
      </w:pPr>
      <w:r>
        <w:rPr>
          <w:rFonts w:ascii="Times New Roman" w:hAnsi="Times New Roman"/>
          <w:b w:val="1"/>
          <w:sz w:val="26"/>
        </w:rPr>
        <w:t>В тех случаях, когда оснований для оставления искового заявления без движения не имелось либо заявителем устранены отмеченные недостатки в установленный ему срок, заявление принималось к производству суда.</w:t>
      </w:r>
    </w:p>
    <w:p w14:paraId="39000000">
      <w:pPr>
        <w:pStyle w:val="Style_4"/>
        <w:widowControl w:val="1"/>
        <w:ind w:firstLine="567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Судьями Мокроусовского районного суда в первом квартале 2025 года оставлено без движения 13 исковых (административных исковых) заявлений. </w:t>
      </w:r>
    </w:p>
    <w:p w14:paraId="3A000000">
      <w:pPr>
        <w:tabs>
          <w:tab w:leader="none" w:pos="426" w:val="left"/>
        </w:tabs>
        <w:ind/>
        <w:jc w:val="both"/>
        <w:rPr>
          <w:sz w:val="26"/>
        </w:rPr>
      </w:pPr>
      <w:r>
        <w:rPr>
          <w:sz w:val="26"/>
        </w:rPr>
        <w:tab/>
      </w:r>
      <w:r>
        <w:rPr>
          <w:sz w:val="26"/>
        </w:rPr>
        <w:t xml:space="preserve">Два исковых заявления ПКО «АйДи Коллект» о взыскании задолженности по кредитному договору оставлено без движения в связи с несоответствием требованиям, содержащимся в ст.ст. 131, 132 ГПК РФ. К заявлению не приложен кредитный договор, Условия и Тарифы, действующие на момент подписания заявления, расчет задолженности, доказательства выдачи заемщику денежных средств, учредительные документы первоначального кредитора, </w:t>
      </w:r>
      <w:r>
        <w:rPr>
          <w:sz w:val="26"/>
        </w:rPr>
        <w:t xml:space="preserve">документы, из которых возможно установить полномочия лица, обратившегося в суд с настоящим иском. Впоследствии заявления возвращены в адрес истца. </w:t>
      </w:r>
    </w:p>
    <w:p w14:paraId="3B000000">
      <w:pPr>
        <w:pStyle w:val="Style_4"/>
        <w:widowControl w:val="1"/>
        <w:ind w:firstLine="567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По аналогичным основаниям оставлены без движения два исковых заявления ПКО «Феникс», одно исковое заявление ООО ПКО «Голиаф,  одно исковое заявление АО «ВУЗ-банк» и одно исковое заявление АО «ТБанк» о взыскании задолженности по кредитному договору. Четыре исковых заявления возвращены в адрес заявителя и по одному заявлению срок для устранения недостатков представлен до 14.04.2025.  </w:t>
      </w:r>
    </w:p>
    <w:p w14:paraId="3C000000">
      <w:pPr>
        <w:pStyle w:val="Style_4"/>
        <w:widowControl w:val="1"/>
        <w:ind w:firstLine="567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Два исковых заявления ОА «ЭК «Восток»» к наследственному имуществу о взыскании задолженности по оплате коммунальных услуг в порядке наследования, оставлены без движения. В нарушение требований ст.ст. 131, 132 ГПК РФ, истцом не предоставлены учредительные документы ОА «ЭК «Восток», документы, позволяющие проверить наличие полномочий Проскуряковой А.А. на представление интересов ОА «ЭК «Восток», а также расчет взыскиваемой задолженности за коммунальные услуги, выписка по лицевому счету, акты проверок. В установленный срок недостатки устранены, заявления приняты к производству суда. </w:t>
      </w:r>
    </w:p>
    <w:p w14:paraId="3D000000">
      <w:pPr>
        <w:pStyle w:val="Style_4"/>
        <w:widowControl w:val="1"/>
        <w:ind w:firstLine="567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По аналогичным основаниям оставлено без движения, а затем возвращено заявителю, исковое заявление ОАО «СКС» к наследственному имуществу К. о взыскании задолженности по оплате коммунальных услуг в порядке наследования. </w:t>
      </w:r>
    </w:p>
    <w:p w14:paraId="3E000000">
      <w:pPr>
        <w:pStyle w:val="Style_4"/>
        <w:ind w:firstLine="540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К исковому заявлению П. к МКУ «Отдел образования администрации Мокроусовского муниципального округа» об отмене ограничения в родительских правах, в нарушении требований, установленных ст.132 ГПК РФ, не приложены документы, подтверждающие обстоятельства, изложенные в исковом заявлении. П. указывает, что в настоящее время она работает, имеет доходы и прошла курс лечения, однако документов в подтверждение данного не прикладывает. В заявлении и приложенных документах также отсутствует информация, где находится несовершеннолетний ребенок, в отношении которого П. ограничена в родительских правах. Нарушения не устранены, заявление возвращено заявителю. </w:t>
      </w:r>
    </w:p>
    <w:p w14:paraId="3F000000">
      <w:pPr>
        <w:pStyle w:val="Style_4"/>
        <w:ind w:firstLine="540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В исковом заявлении О. к Администрации Мокроусовского муниципального округа Курганской области о признании права собственности на квартиру в силу приобретательной давности, в нарушении требований, содержащихся п.п.2,3 ч.2 ст.131 ГПК РФ, не указаны сведения об истце и ответчике, а также не приложен документ, подтверждающий оплату государственной пошлины в соответствии с требованиями ст. 333.19 и ст.333.20 Налогового кодекса РФ. Срок для устранения недостатков предоставлен до 14.04.2025. </w:t>
      </w:r>
    </w:p>
    <w:p w14:paraId="40000000">
      <w:pPr>
        <w:ind w:firstLine="540" w:left="0"/>
        <w:jc w:val="both"/>
        <w:rPr>
          <w:sz w:val="26"/>
        </w:rPr>
      </w:pPr>
      <w:r>
        <w:rPr>
          <w:sz w:val="26"/>
        </w:rPr>
        <w:t xml:space="preserve">К заявлению ПАО Сбербанк к О., К. о взыскании задолженности по кредитному договору, в нарушении требований, содержащихся в ст. 132 ГПК РФ,  не приложен подробный расчет задолженности, отражающий по месяцам сроки, суммы, последовательность и вид зачтенных платежей (сумма основного долга, проценты, штрафные санкции и т.п.), а также отражающий сроки, суммы и вид возникшей задолженности, предъявленной к взысканию. Недостатки устранены  и заявление принято к производству суда. </w:t>
      </w:r>
    </w:p>
    <w:p w14:paraId="41000000">
      <w:pPr>
        <w:ind w:firstLine="540" w:left="0"/>
        <w:jc w:val="both"/>
        <w:rPr>
          <w:sz w:val="26"/>
        </w:rPr>
      </w:pPr>
      <w:r>
        <w:rPr>
          <w:sz w:val="26"/>
        </w:rPr>
        <w:t xml:space="preserve">Анализ практики применения судьями Мокроусовского районного суда Курганской области ст. ст. 134-136 ГПК РФ,  ст.ст. 128-130 КАС РФ, показал, что в 2025 году наблюдается уменьшение числа поступивших в суд заявлений. В сравнении с 2024 годом, в 2025 году доля вынесенных определений о возвращении заявлений снизилась на 1%, доля вынесенных определений об отказе в принятии заявлений также снизилась на 1% и доля вынесенных определений об оставлении исковых заявлений без движения также снизилась на 1%. </w:t>
      </w:r>
    </w:p>
    <w:p w14:paraId="42000000">
      <w:pPr>
        <w:ind w:firstLine="540" w:left="0"/>
        <w:jc w:val="both"/>
        <w:rPr>
          <w:sz w:val="26"/>
        </w:rPr>
      </w:pPr>
    </w:p>
    <w:p w14:paraId="43000000">
      <w:pPr>
        <w:ind/>
        <w:jc w:val="right"/>
        <w:rPr>
          <w:sz w:val="26"/>
        </w:rPr>
      </w:pPr>
      <w:r>
        <w:rPr>
          <w:sz w:val="16"/>
        </w:rPr>
        <w:t xml:space="preserve">                                                                               </w:t>
      </w:r>
      <w:r>
        <w:rPr>
          <w:sz w:val="26"/>
        </w:rPr>
        <w:t xml:space="preserve">      </w:t>
      </w:r>
    </w:p>
    <w:sectPr>
      <w:headerReference r:id="rId1" w:type="default"/>
      <w:pgSz w:h="16840" w:orient="portrait" w:w="11907"/>
      <w:pgMar w:bottom="851" w:footer="720" w:gutter="0" w:header="720" w:left="1247" w:right="964" w:top="85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right" w:y="1"/>
    </w:pPr>
    <w:r>
      <w:rPr>
        <w:rStyle w:val="Style_1_ch"/>
      </w:rPr>
      <w:fldChar w:fldCharType="begin"/>
    </w:r>
    <w:r>
      <w:rPr>
        <w:rStyle w:val="Style_1_ch"/>
      </w:rPr>
      <w:instrText xml:space="preserve">PAGE </w:instrText>
    </w:r>
    <w:r>
      <w:rPr>
        <w:rStyle w:val="Style_1_ch"/>
      </w:rPr>
      <w:fldChar w:fldCharType="separate"/>
    </w:r>
    <w:r>
      <w:rPr>
        <w:rStyle w:val="Style_1_ch"/>
      </w:rPr>
      <w:fldChar w:fldCharType="end"/>
    </w:r>
  </w:p>
  <w:p w14:paraId="01000000">
    <w:pPr>
      <w:pStyle w:val="Style_2"/>
      <w:ind w:right="360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mirrorMargins/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6" w:type="paragraph">
    <w:name w:val="Normal"/>
    <w:link w:val="Style_6_ch"/>
    <w:uiPriority w:val="0"/>
    <w:qFormat/>
    <w:rPr>
      <w:sz w:val="28"/>
    </w:rPr>
  </w:style>
  <w:style w:default="1" w:styleId="Style_6_ch" w:type="character">
    <w:name w:val="Normal"/>
    <w:link w:val="Style_6"/>
    <w:rPr>
      <w:sz w:val="28"/>
    </w:rPr>
  </w:style>
  <w:style w:styleId="Style_7" w:type="paragraph">
    <w:name w:val="toc 2"/>
    <w:next w:val="Style_6"/>
    <w:link w:val="Style_7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toc 4"/>
    <w:next w:val="Style_6"/>
    <w:link w:val="Style_8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Body Text Indent 3"/>
    <w:basedOn w:val="Style_6"/>
    <w:link w:val="Style_9_ch"/>
    <w:pPr>
      <w:ind w:firstLine="851" w:left="0"/>
      <w:jc w:val="both"/>
    </w:pPr>
  </w:style>
  <w:style w:styleId="Style_9_ch" w:type="character">
    <w:name w:val="Body Text Indent 3"/>
    <w:basedOn w:val="Style_6_ch"/>
    <w:link w:val="Style_9"/>
  </w:style>
  <w:style w:styleId="Style_10" w:type="paragraph">
    <w:name w:val="footer"/>
    <w:basedOn w:val="Style_6"/>
    <w:link w:val="Style_10_ch"/>
    <w:pPr>
      <w:tabs>
        <w:tab w:leader="none" w:pos="4677" w:val="center"/>
        <w:tab w:leader="none" w:pos="9355" w:val="right"/>
      </w:tabs>
      <w:ind/>
    </w:pPr>
  </w:style>
  <w:style w:styleId="Style_10_ch" w:type="character">
    <w:name w:val="footer"/>
    <w:basedOn w:val="Style_6_ch"/>
    <w:link w:val="Style_10"/>
  </w:style>
  <w:style w:styleId="Style_11" w:type="paragraph">
    <w:name w:val="toc 6"/>
    <w:next w:val="Style_6"/>
    <w:link w:val="Style_11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1_ch" w:type="character">
    <w:name w:val="toc 6"/>
    <w:link w:val="Style_11"/>
    <w:rPr>
      <w:rFonts w:ascii="XO Thames" w:hAnsi="XO Thames"/>
      <w:sz w:val="28"/>
    </w:rPr>
  </w:style>
  <w:style w:styleId="Style_12" w:type="paragraph">
    <w:name w:val="toc 7"/>
    <w:next w:val="Style_6"/>
    <w:link w:val="Style_12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2_ch" w:type="character">
    <w:name w:val="toc 7"/>
    <w:link w:val="Style_12"/>
    <w:rPr>
      <w:rFonts w:ascii="XO Thames" w:hAnsi="XO Thames"/>
      <w:sz w:val="28"/>
    </w:rPr>
  </w:style>
  <w:style w:styleId="Style_13" w:type="paragraph">
    <w:name w:val="Body Text"/>
    <w:basedOn w:val="Style_6"/>
    <w:link w:val="Style_13_ch"/>
    <w:pPr>
      <w:ind/>
      <w:jc w:val="center"/>
    </w:pPr>
  </w:style>
  <w:style w:styleId="Style_13_ch" w:type="character">
    <w:name w:val="Body Text"/>
    <w:basedOn w:val="Style_6_ch"/>
    <w:link w:val="Style_13"/>
  </w:style>
  <w:style w:styleId="Style_14" w:type="paragraph">
    <w:name w:val="heading 3"/>
    <w:basedOn w:val="Style_6"/>
    <w:next w:val="Style_6"/>
    <w:link w:val="Style_14_ch"/>
    <w:uiPriority w:val="9"/>
    <w:qFormat/>
    <w:pPr>
      <w:keepNext w:val="1"/>
      <w:ind/>
      <w:jc w:val="center"/>
      <w:outlineLvl w:val="2"/>
    </w:pPr>
    <w:rPr>
      <w:b w:val="1"/>
      <w:sz w:val="16"/>
    </w:rPr>
  </w:style>
  <w:style w:styleId="Style_14_ch" w:type="character">
    <w:name w:val="heading 3"/>
    <w:basedOn w:val="Style_6_ch"/>
    <w:link w:val="Style_14"/>
    <w:rPr>
      <w:b w:val="1"/>
      <w:sz w:val="16"/>
    </w:rPr>
  </w:style>
  <w:style w:styleId="Style_15" w:type="paragraph">
    <w:name w:val="Default Paragraph Font"/>
    <w:link w:val="Style_15_ch"/>
  </w:style>
  <w:style w:styleId="Style_15_ch" w:type="character">
    <w:name w:val="Default Paragraph Font"/>
    <w:link w:val="Style_15"/>
  </w:style>
  <w:style w:styleId="Style_16" w:type="paragraph">
    <w:name w:val="toc 3"/>
    <w:next w:val="Style_6"/>
    <w:link w:val="Style_16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6_ch" w:type="character">
    <w:name w:val="toc 3"/>
    <w:link w:val="Style_16"/>
    <w:rPr>
      <w:rFonts w:ascii="XO Thames" w:hAnsi="XO Thames"/>
      <w:sz w:val="28"/>
    </w:rPr>
  </w:style>
  <w:style w:styleId="Style_17" w:type="paragraph">
    <w:name w:val="Body Text Indent"/>
    <w:basedOn w:val="Style_6"/>
    <w:link w:val="Style_17_ch"/>
    <w:pPr>
      <w:ind w:hanging="1418" w:left="1418"/>
      <w:jc w:val="both"/>
    </w:pPr>
    <w:rPr>
      <w:sz w:val="24"/>
    </w:rPr>
  </w:style>
  <w:style w:styleId="Style_17_ch" w:type="character">
    <w:name w:val="Body Text Indent"/>
    <w:basedOn w:val="Style_6_ch"/>
    <w:link w:val="Style_17"/>
    <w:rPr>
      <w:sz w:val="24"/>
    </w:rPr>
  </w:style>
  <w:style w:styleId="Style_18" w:type="paragraph">
    <w:name w:val="heading 5"/>
    <w:next w:val="Style_6"/>
    <w:link w:val="Style_1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8_ch" w:type="character">
    <w:name w:val="heading 5"/>
    <w:link w:val="Style_18"/>
    <w:rPr>
      <w:rFonts w:ascii="XO Thames" w:hAnsi="XO Thames"/>
      <w:b w:val="1"/>
      <w:sz w:val="22"/>
    </w:rPr>
  </w:style>
  <w:style w:styleId="Style_19" w:type="paragraph">
    <w:name w:val="heading 1"/>
    <w:basedOn w:val="Style_6"/>
    <w:next w:val="Style_6"/>
    <w:link w:val="Style_19_ch"/>
    <w:uiPriority w:val="9"/>
    <w:qFormat/>
    <w:pPr>
      <w:keepNext w:val="1"/>
      <w:ind/>
      <w:jc w:val="center"/>
      <w:outlineLvl w:val="0"/>
    </w:pPr>
    <w:rPr>
      <w:b w:val="1"/>
      <w:sz w:val="20"/>
    </w:rPr>
  </w:style>
  <w:style w:styleId="Style_19_ch" w:type="character">
    <w:name w:val="heading 1"/>
    <w:basedOn w:val="Style_6_ch"/>
    <w:link w:val="Style_19"/>
    <w:rPr>
      <w:b w:val="1"/>
      <w:sz w:val="20"/>
    </w:rPr>
  </w:style>
  <w:style w:styleId="Style_20" w:type="paragraph">
    <w:name w:val="Hyperlink"/>
    <w:link w:val="Style_20_ch"/>
    <w:rPr>
      <w:color w:val="0000FF"/>
      <w:u w:val="single"/>
    </w:rPr>
  </w:style>
  <w:style w:styleId="Style_20_ch" w:type="character">
    <w:name w:val="Hyperlink"/>
    <w:link w:val="Style_20"/>
    <w:rPr>
      <w:color w:val="0000FF"/>
      <w:u w:val="single"/>
    </w:rPr>
  </w:style>
  <w:style w:styleId="Style_21" w:type="paragraph">
    <w:name w:val="Footnote"/>
    <w:link w:val="Style_21_ch"/>
    <w:pPr>
      <w:ind w:firstLine="851" w:left="0"/>
      <w:jc w:val="both"/>
    </w:pPr>
    <w:rPr>
      <w:rFonts w:ascii="XO Thames" w:hAnsi="XO Thames"/>
      <w:sz w:val="22"/>
    </w:rPr>
  </w:style>
  <w:style w:styleId="Style_21_ch" w:type="character">
    <w:name w:val="Footnote"/>
    <w:link w:val="Style_21"/>
    <w:rPr>
      <w:rFonts w:ascii="XO Thames" w:hAnsi="XO Thames"/>
      <w:sz w:val="22"/>
    </w:rPr>
  </w:style>
  <w:style w:styleId="Style_22" w:type="paragraph">
    <w:name w:val="toc 1"/>
    <w:next w:val="Style_6"/>
    <w:link w:val="Style_2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2_ch" w:type="character">
    <w:name w:val="toc 1"/>
    <w:link w:val="Style_22"/>
    <w:rPr>
      <w:rFonts w:ascii="XO Thames" w:hAnsi="XO Thames"/>
      <w:b w:val="1"/>
      <w:sz w:val="28"/>
    </w:rPr>
  </w:style>
  <w:style w:styleId="Style_23" w:type="paragraph">
    <w:name w:val="Header and Footer"/>
    <w:link w:val="Style_23_ch"/>
    <w:pPr>
      <w:spacing w:line="240" w:lineRule="auto"/>
      <w:ind/>
      <w:jc w:val="both"/>
    </w:pPr>
    <w:rPr>
      <w:rFonts w:ascii="XO Thames" w:hAnsi="XO Thames"/>
      <w:sz w:val="20"/>
    </w:rPr>
  </w:style>
  <w:style w:styleId="Style_23_ch" w:type="character">
    <w:name w:val="Header and Footer"/>
    <w:link w:val="Style_23"/>
    <w:rPr>
      <w:rFonts w:ascii="XO Thames" w:hAnsi="XO Thames"/>
      <w:sz w:val="20"/>
    </w:rPr>
  </w:style>
  <w:style w:styleId="Style_24" w:type="paragraph">
    <w:name w:val="toc 9"/>
    <w:next w:val="Style_6"/>
    <w:link w:val="Style_2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4_ch" w:type="character">
    <w:name w:val="toc 9"/>
    <w:link w:val="Style_24"/>
    <w:rPr>
      <w:rFonts w:ascii="XO Thames" w:hAnsi="XO Thames"/>
      <w:sz w:val="28"/>
    </w:rPr>
  </w:style>
  <w:style w:styleId="Style_25" w:type="paragraph">
    <w:name w:val="toc 8"/>
    <w:next w:val="Style_6"/>
    <w:link w:val="Style_2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5_ch" w:type="character">
    <w:name w:val="toc 8"/>
    <w:link w:val="Style_25"/>
    <w:rPr>
      <w:rFonts w:ascii="XO Thames" w:hAnsi="XO Thames"/>
      <w:sz w:val="28"/>
    </w:rPr>
  </w:style>
  <w:style w:styleId="Style_1" w:type="paragraph">
    <w:name w:val="page number"/>
    <w:basedOn w:val="Style_15"/>
    <w:link w:val="Style_1_ch"/>
  </w:style>
  <w:style w:styleId="Style_1_ch" w:type="character">
    <w:name w:val="page number"/>
    <w:basedOn w:val="Style_15_ch"/>
    <w:link w:val="Style_1"/>
  </w:style>
  <w:style w:styleId="Style_26" w:type="paragraph">
    <w:name w:val="toc 5"/>
    <w:next w:val="Style_6"/>
    <w:link w:val="Style_2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6_ch" w:type="character">
    <w:name w:val="toc 5"/>
    <w:link w:val="Style_26"/>
    <w:rPr>
      <w:rFonts w:ascii="XO Thames" w:hAnsi="XO Thames"/>
      <w:sz w:val="28"/>
    </w:rPr>
  </w:style>
  <w:style w:styleId="Style_27" w:type="paragraph">
    <w:name w:val="Body Text Indent 2"/>
    <w:basedOn w:val="Style_6"/>
    <w:link w:val="Style_27_ch"/>
    <w:pPr>
      <w:ind w:hanging="1418" w:left="1418"/>
      <w:jc w:val="both"/>
    </w:pPr>
  </w:style>
  <w:style w:styleId="Style_27_ch" w:type="character">
    <w:name w:val="Body Text Indent 2"/>
    <w:basedOn w:val="Style_6_ch"/>
    <w:link w:val="Style_27"/>
  </w:style>
  <w:style w:styleId="Style_28" w:type="paragraph">
    <w:name w:val="Balloon Text"/>
    <w:basedOn w:val="Style_6"/>
    <w:link w:val="Style_28_ch"/>
    <w:rPr>
      <w:rFonts w:ascii="Tahoma" w:hAnsi="Tahoma"/>
      <w:sz w:val="16"/>
    </w:rPr>
  </w:style>
  <w:style w:styleId="Style_28_ch" w:type="character">
    <w:name w:val="Balloon Text"/>
    <w:basedOn w:val="Style_6_ch"/>
    <w:link w:val="Style_28"/>
    <w:rPr>
      <w:rFonts w:ascii="Tahoma" w:hAnsi="Tahoma"/>
      <w:sz w:val="16"/>
    </w:rPr>
  </w:style>
  <w:style w:styleId="Style_29" w:type="paragraph">
    <w:name w:val="Subtitle"/>
    <w:next w:val="Style_6"/>
    <w:link w:val="Style_2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9_ch" w:type="character">
    <w:name w:val="Subtitle"/>
    <w:link w:val="Style_29"/>
    <w:rPr>
      <w:rFonts w:ascii="XO Thames" w:hAnsi="XO Thames"/>
      <w:i w:val="1"/>
      <w:sz w:val="24"/>
    </w:rPr>
  </w:style>
  <w:style w:styleId="Style_3" w:type="paragraph">
    <w:name w:val="No Spacing"/>
    <w:link w:val="Style_3_ch"/>
    <w:rPr>
      <w:rFonts w:ascii="Calibri" w:hAnsi="Calibri"/>
      <w:sz w:val="22"/>
    </w:rPr>
  </w:style>
  <w:style w:styleId="Style_3_ch" w:type="character">
    <w:name w:val="No Spacing"/>
    <w:link w:val="Style_3"/>
    <w:rPr>
      <w:rFonts w:ascii="Calibri" w:hAnsi="Calibri"/>
      <w:sz w:val="22"/>
    </w:rPr>
  </w:style>
  <w:style w:styleId="Style_30" w:type="paragraph">
    <w:name w:val="Title"/>
    <w:next w:val="Style_6"/>
    <w:link w:val="Style_3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0_ch" w:type="character">
    <w:name w:val="Title"/>
    <w:link w:val="Style_30"/>
    <w:rPr>
      <w:rFonts w:ascii="XO Thames" w:hAnsi="XO Thames"/>
      <w:b w:val="1"/>
      <w:caps w:val="1"/>
      <w:sz w:val="40"/>
    </w:rPr>
  </w:style>
  <w:style w:styleId="Style_31" w:type="paragraph">
    <w:name w:val="heading 4"/>
    <w:next w:val="Style_6"/>
    <w:link w:val="Style_3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1_ch" w:type="character">
    <w:name w:val="heading 4"/>
    <w:link w:val="Style_31"/>
    <w:rPr>
      <w:rFonts w:ascii="XO Thames" w:hAnsi="XO Thames"/>
      <w:b w:val="1"/>
      <w:sz w:val="24"/>
    </w:rPr>
  </w:style>
  <w:style w:styleId="Style_4" w:type="paragraph">
    <w:name w:val="ConsPlusNormal"/>
    <w:link w:val="Style_4_ch"/>
    <w:pPr>
      <w:widowControl w:val="0"/>
      <w:ind w:firstLine="720" w:left="0"/>
    </w:pPr>
    <w:rPr>
      <w:rFonts w:ascii="Arial" w:hAnsi="Arial"/>
    </w:rPr>
  </w:style>
  <w:style w:styleId="Style_4_ch" w:type="character">
    <w:name w:val="ConsPlusNormal"/>
    <w:link w:val="Style_4"/>
    <w:rPr>
      <w:rFonts w:ascii="Arial" w:hAnsi="Arial"/>
    </w:rPr>
  </w:style>
  <w:style w:styleId="Style_2" w:type="paragraph">
    <w:name w:val="header"/>
    <w:basedOn w:val="Style_6"/>
    <w:link w:val="Style_2_ch"/>
    <w:pPr>
      <w:tabs>
        <w:tab w:leader="none" w:pos="4153" w:val="center"/>
        <w:tab w:leader="none" w:pos="8306" w:val="right"/>
      </w:tabs>
      <w:ind/>
    </w:pPr>
    <w:rPr>
      <w:sz w:val="20"/>
    </w:rPr>
  </w:style>
  <w:style w:styleId="Style_2_ch" w:type="character">
    <w:name w:val="header"/>
    <w:basedOn w:val="Style_6_ch"/>
    <w:link w:val="Style_2"/>
    <w:rPr>
      <w:sz w:val="20"/>
    </w:rPr>
  </w:style>
  <w:style w:styleId="Style_32" w:type="paragraph">
    <w:name w:val="heading 2"/>
    <w:basedOn w:val="Style_6"/>
    <w:next w:val="Style_6"/>
    <w:link w:val="Style_32_ch"/>
    <w:uiPriority w:val="9"/>
    <w:qFormat/>
    <w:pPr>
      <w:keepNext w:val="1"/>
      <w:ind w:firstLine="336" w:left="0"/>
      <w:outlineLvl w:val="1"/>
    </w:pPr>
    <w:rPr>
      <w:b w:val="1"/>
      <w:sz w:val="20"/>
    </w:rPr>
  </w:style>
  <w:style w:styleId="Style_32_ch" w:type="character">
    <w:name w:val="heading 2"/>
    <w:basedOn w:val="Style_6_ch"/>
    <w:link w:val="Style_32"/>
    <w:rPr>
      <w:b w:val="1"/>
      <w:sz w:val="20"/>
    </w:rPr>
  </w:style>
  <w:style w:styleId="Style_33" w:type="paragraph">
    <w:name w:val="Body Text 2"/>
    <w:basedOn w:val="Style_6"/>
    <w:link w:val="Style_33_ch"/>
    <w:pPr>
      <w:spacing w:after="120" w:line="480" w:lineRule="auto"/>
      <w:ind/>
    </w:pPr>
  </w:style>
  <w:style w:styleId="Style_33_ch" w:type="character">
    <w:name w:val="Body Text 2"/>
    <w:basedOn w:val="Style_6_ch"/>
    <w:link w:val="Style_33"/>
  </w:style>
  <w:style w:default="1" w:styleId="Style_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4" w:type="table">
    <w:name w:val="Table Grid"/>
    <w:basedOn w:val="Style_5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2025-04-14T08:30:44Z</dcterms:modified>
</cp:coreProperties>
</file>