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1F" w:rsidRPr="009C171F" w:rsidRDefault="009C17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71F" w:rsidRPr="009C171F" w:rsidRDefault="009C17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9C171F">
        <w:rPr>
          <w:rFonts w:ascii="Times New Roman" w:hAnsi="Times New Roman" w:cs="Times New Roman"/>
          <w:sz w:val="24"/>
          <w:szCs w:val="24"/>
        </w:rPr>
        <w:t>ОСНОВНЫЕ НОВЕЛЛЫ</w:t>
      </w:r>
    </w:p>
    <w:p w:rsidR="009C171F" w:rsidRPr="009C171F" w:rsidRDefault="009C17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171F">
        <w:rPr>
          <w:rFonts w:ascii="Times New Roman" w:hAnsi="Times New Roman" w:cs="Times New Roman"/>
          <w:sz w:val="24"/>
          <w:szCs w:val="24"/>
        </w:rPr>
        <w:t>В МЕТОДИЧЕСКИХ РЕКОМЕНДАЦИЯХ ПО ВОПРОСАМ ПРЕДСТАВЛЕНИЯ</w:t>
      </w:r>
    </w:p>
    <w:p w:rsidR="009C171F" w:rsidRPr="009C171F" w:rsidRDefault="009C17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171F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9C171F" w:rsidRPr="009C171F" w:rsidRDefault="009C17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171F">
        <w:rPr>
          <w:rFonts w:ascii="Times New Roman" w:hAnsi="Times New Roman" w:cs="Times New Roman"/>
          <w:sz w:val="24"/>
          <w:szCs w:val="24"/>
        </w:rPr>
        <w:t>ИМУЩЕСТВЕННОГО ХАРАКТЕРА И ЗАПОЛНЕНИЯ СООТВЕТСТВУЮЩЕЙ</w:t>
      </w:r>
    </w:p>
    <w:p w:rsidR="009C171F" w:rsidRPr="009C171F" w:rsidRDefault="009C17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171F">
        <w:rPr>
          <w:rFonts w:ascii="Times New Roman" w:hAnsi="Times New Roman" w:cs="Times New Roman"/>
          <w:sz w:val="24"/>
          <w:szCs w:val="24"/>
        </w:rPr>
        <w:t>ФОРМЫ СПРАВКИ В 202</w:t>
      </w:r>
      <w:r w:rsidR="004607FE">
        <w:rPr>
          <w:rFonts w:ascii="Times New Roman" w:hAnsi="Times New Roman" w:cs="Times New Roman"/>
          <w:sz w:val="24"/>
          <w:szCs w:val="24"/>
        </w:rPr>
        <w:t>5</w:t>
      </w:r>
      <w:r w:rsidRPr="009C171F">
        <w:rPr>
          <w:rFonts w:ascii="Times New Roman" w:hAnsi="Times New Roman" w:cs="Times New Roman"/>
          <w:sz w:val="24"/>
          <w:szCs w:val="24"/>
        </w:rPr>
        <w:t xml:space="preserve"> ГОДУ (ЗА ОТЧЕТНЫЙ 202</w:t>
      </w:r>
      <w:r w:rsidR="004607FE">
        <w:rPr>
          <w:rFonts w:ascii="Times New Roman" w:hAnsi="Times New Roman" w:cs="Times New Roman"/>
          <w:sz w:val="24"/>
          <w:szCs w:val="24"/>
        </w:rPr>
        <w:t>4</w:t>
      </w:r>
      <w:r w:rsidRPr="009C171F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9C171F" w:rsidRPr="009C171F" w:rsidRDefault="009C17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71F" w:rsidRDefault="009C171F" w:rsidP="004607F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71F">
        <w:rPr>
          <w:rFonts w:ascii="Times New Roman" w:hAnsi="Times New Roman" w:cs="Times New Roman"/>
          <w:sz w:val="24"/>
          <w:szCs w:val="24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</w:t>
      </w:r>
      <w:r w:rsidR="004607FE">
        <w:rPr>
          <w:rFonts w:ascii="Times New Roman" w:hAnsi="Times New Roman" w:cs="Times New Roman"/>
          <w:sz w:val="24"/>
          <w:szCs w:val="24"/>
        </w:rPr>
        <w:t>етодических рекомендаций размещ</w:t>
      </w:r>
      <w:r w:rsidRPr="009C171F">
        <w:rPr>
          <w:rFonts w:ascii="Times New Roman" w:hAnsi="Times New Roman" w:cs="Times New Roman"/>
          <w:sz w:val="24"/>
          <w:szCs w:val="24"/>
        </w:rPr>
        <w:t>е</w:t>
      </w:r>
      <w:r w:rsidR="004607FE">
        <w:rPr>
          <w:rFonts w:ascii="Times New Roman" w:hAnsi="Times New Roman" w:cs="Times New Roman"/>
          <w:sz w:val="24"/>
          <w:szCs w:val="24"/>
        </w:rPr>
        <w:t>на</w:t>
      </w:r>
      <w:r w:rsidRPr="009C171F">
        <w:rPr>
          <w:rFonts w:ascii="Times New Roman" w:hAnsi="Times New Roman" w:cs="Times New Roman"/>
          <w:sz w:val="24"/>
          <w:szCs w:val="24"/>
        </w:rPr>
        <w:t xml:space="preserve"> на официальном сайте Минтруда России.</w:t>
      </w:r>
    </w:p>
    <w:p w:rsidR="009C171F" w:rsidRPr="009C171F" w:rsidRDefault="004607FE" w:rsidP="004607F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C171F" w:rsidRPr="009C171F">
        <w:rPr>
          <w:rFonts w:ascii="Times New Roman" w:hAnsi="Times New Roman" w:cs="Times New Roman"/>
          <w:sz w:val="24"/>
          <w:szCs w:val="24"/>
        </w:rPr>
        <w:t xml:space="preserve">етодические </w:t>
      </w:r>
      <w:hyperlink r:id="rId4">
        <w:r w:rsidR="009C171F" w:rsidRPr="009C171F">
          <w:rPr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="009C171F" w:rsidRPr="009C171F">
        <w:rPr>
          <w:rFonts w:ascii="Times New Roman" w:hAnsi="Times New Roman" w:cs="Times New Roman"/>
          <w:sz w:val="24"/>
          <w:szCs w:val="24"/>
        </w:rPr>
        <w:t xml:space="preserve"> для применения в ходе декларационной кампании 202</w:t>
      </w:r>
      <w:r w:rsidR="009C171F">
        <w:rPr>
          <w:rFonts w:ascii="Times New Roman" w:hAnsi="Times New Roman" w:cs="Times New Roman"/>
          <w:sz w:val="24"/>
          <w:szCs w:val="24"/>
        </w:rPr>
        <w:t>5 года (за отчетный 2024</w:t>
      </w:r>
      <w:r w:rsidR="009C171F" w:rsidRPr="009C171F">
        <w:rPr>
          <w:rFonts w:ascii="Times New Roman" w:hAnsi="Times New Roman" w:cs="Times New Roman"/>
          <w:sz w:val="24"/>
          <w:szCs w:val="24"/>
        </w:rPr>
        <w:t xml:space="preserve">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Методические рекомендации актуализированы с учетом изменений нормативных правовых актов Российской Федерации и подлежат применению в рамках декларационной кампании 2025 года (за отчетный 2024 год), а также при предоставлении сведений о доходах кандидатами, претендующими на замещение соответствующих должностей.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Методические рекомендации дополнены следующими положениями, требующими особого внимания лиц, представляющих сведения о доходах,</w:t>
      </w:r>
      <w:r w:rsidRPr="004607FE">
        <w:t xml:space="preserve"> расходах, об имуществе и обязательствах имущественного характера</w:t>
      </w:r>
      <w:r>
        <w:t>: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1) заявление о невозможности по объективным причинам представить сведения о доходах в отношении супруг (супругов) и (или) несовершеннолетних детей может быть подано служащим при предоставлении им сведений о доходах в случае назначения на должность, предусмотренную перечнем должностей, при замещении которых служащие обязаны представлять сведения о доходах, а также сведения о доходах своих супруги (супруга) и несовершеннолетних детей (при переводе с должности, не включенной в такой перечень);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2) указаны наиболее востребованные документы, на основании которых рекомендуется заполнять справку о доходах, и источники информации, где такие документы могут быть получены (к примеру, справку о доходах и суммах налога физического лица можно получить через Личный кабинет налогоплательщика (</w:t>
      </w:r>
      <w:r w:rsidRPr="004443F8">
        <w:t xml:space="preserve">официальный сайт </w:t>
      </w:r>
      <w:hyperlink r:id="rId5" w:history="1">
        <w:r w:rsidRPr="0026112D">
          <w:rPr>
            <w:rStyle w:val="a3"/>
          </w:rPr>
          <w:t>https://lkfl2.nalog.ru/lkfl</w:t>
        </w:r>
      </w:hyperlink>
      <w:r>
        <w:t xml:space="preserve">), справку о размере пенсии и иных социальных выплат (в том числе о пособии по временной нетрудоспособности) можно получить через Личный кабинет налогоплательщика (официальный сайт </w:t>
      </w:r>
      <w:hyperlink r:id="rId6" w:history="1">
        <w:r w:rsidRPr="0026112D">
          <w:rPr>
            <w:rStyle w:val="a3"/>
          </w:rPr>
          <w:t>https://lkfl2.nalog.ru/lkfl</w:t>
        </w:r>
      </w:hyperlink>
      <w:r>
        <w:t>) или посредством официального сайта Фонда пенсионного и социального страхования Российской Федерации (</w:t>
      </w:r>
      <w:hyperlink r:id="rId7" w:history="1">
        <w:r w:rsidRPr="0026112D">
          <w:rPr>
            <w:rStyle w:val="a3"/>
          </w:rPr>
          <w:t>https://sfr.gov.ru/</w:t>
        </w:r>
      </w:hyperlink>
      <w:r>
        <w:t xml:space="preserve"> и так далее) (пункт 49 Методических рекомендаций);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 xml:space="preserve">3) Минтруд России не является разработчиком специального программного обеспечения «Справки БК» (далее – СПО «Справки БК»), в связи с чем все вопросы, связанные с техническим обслуживанием и функционалом СПО «Справки БК» целесообразно направлять в адрес разработчика – Федеральной службы охраны Российской Федерации; 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 xml:space="preserve">4) законодательством Российской Федерации не предусмотрена возможность подписания справки о доходах иным лицом вместо служащего (работника), представляющего справку о доходах; 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 xml:space="preserve">5) при применении в ходе осуществления предпринимательской деятельности автоматизированной упрощенной системы налогообложения (АвтоУСН) в качестве </w:t>
      </w:r>
      <w:r>
        <w:lastRenderedPageBreak/>
        <w:t>(дохода) указывается сумма полученных доходов (независимо от объекта налогообложения) за налоговые периоды отчетного года;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6) в разделе 1 «Сведения о доходах» справки о доходах помимо иных товаров, услуг, полученных в натуральной форме, не подлежит отражению цифровая валюта, полученная в результате осуществления майнинга (законодательством Российской Федерации о налогах и сборах такая цифровая валюта отнесена к доходам, полученным в натуральной форме). Цифровая валюта, полученная в результате майнинга, как и цифровая валюта, полученная по иным основаниям (например, куплена, получена в дар и так далее), при ее наличии в собственности подлежит указанию в подразделе 3.5 «Цифровая валюта») раздела 3 «Сведения об имуществе» справки о доходах;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 xml:space="preserve">7) в разделе 1 «Сведения о доходах» справки о доходах не указываются (в том числе, в случае наличия сведений о таких денежных средствах в информации, полученной в рамках Указанием Банка России от 27 мая 2021 года № 5798-У «О порядке предоставления кредитными организациями и </w:t>
      </w:r>
      <w:r w:rsidR="00CC7CB8">
        <w:t>некредитными</w:t>
      </w:r>
      <w: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 по единой форме предоставления сведений и порядке ее заполнения» (далее - Указание № 5798-У));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8) помимо граждан, поступающих на службу (работу), раздел 2 «Сведения о расходах</w:t>
      </w:r>
      <w:r w:rsidR="00CC7CB8">
        <w:t>»</w:t>
      </w:r>
      <w:r>
        <w:t xml:space="preserve"> справки о доходах не подлежит заполнению: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 xml:space="preserve">служащими, замещающими должности, не предусмотренные перечнем, при предоставлении ими сведений о доходах в случае назначения на должность, предусмотренную перечнем; 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депутатами представительных органов муниципальных образований в течение четырех месяцев со дня избрания и осуществляющими свои полномочия на непостоянной основе, или со дня передачи вакантного депутатского мандата;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9) сведения об источнике средств, за счет которых приобретено недвижимое имущество, находящееся в пределах территории Российской Федерации, в подразделе 3.1 «Недвижимое имущество» раздела 3 «Сведения об имуществе» справки о доходах не указываются (достаточно отразить реквизиты свидетельства о государственной регистрации права на недвижимое имущество или номер и дату государственной регистрации права, а также наименование и реквизиты документа, являющегося основанием для приобретения права собственности на недвижимое имущество);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10) вид, марка, модель транспортного средства, год изготовления заполняются согласно официальным документам (например, согласно паспорту транспортного средства или свидетельству о регистрации транспортного средства);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11) в целях оценки необходимости заполнения графы б «Сумма поступивших на счет денежных средств (руб.)» раздела 4 «Сведения о счетах в банках и иных кредитных организациях» справки о доходах при расчете общего дохода служащего (работника), его супруги (супруга) и несовершеннолетних детей за отчетный период и два предшествующих ему года, доходы супруги (супруга) служащего (работника) учитываются только в случае, если они состояли в браке на отчетную дату и в течение двух и более лет, предшествующих отчетному периоду (аналогично в отношении супруги (супруга). Во всех остальных случаях учитывается только доход служащего (работника) за отчетный период и два предшествующих ему года (аналогично в отношении супруги (супруга);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12) в разделе 4 «Сведения о счетах в банках и иных кредитных организациях» справки о доходах не подлежат отражению сведения о заключении договора долгосрочных сбережений в соответствии с Федеральным законом от 7 мая 1998 года № 75-ФЗ «О негосударственных пенсионных фондах»;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 xml:space="preserve">13) в информации, представляемой Федеральной налоговой службой Российской Федерации, могут указываться электронные средства платежа (ЭСП), но это не требует их </w:t>
      </w:r>
      <w:r>
        <w:lastRenderedPageBreak/>
        <w:t>отражения в разделе 4 «Сведения о счетах в банках и иных кредитных организациях» справки о доходах;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14)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реорганизации, в рамках Указания № 5798-У;</w:t>
      </w:r>
    </w:p>
    <w:p w:rsidR="004607FE" w:rsidRDefault="004607FE" w:rsidP="004607FE">
      <w:pPr>
        <w:tabs>
          <w:tab w:val="left" w:pos="709"/>
          <w:tab w:val="center" w:pos="4771"/>
        </w:tabs>
        <w:ind w:firstLine="709"/>
        <w:jc w:val="both"/>
      </w:pPr>
      <w:r>
        <w:t>15) к обязательствам в соответствии с Законом Российской Федерации от 27 ноября 1992 года № 4015-1 «Об организации страхового дела в Российской Федерации» не относится и не подлежит отражению в подразделе 6.2 «Срочные обязательства финансового характера» раздела б «Сведения об обязательствах имущественного характера» справки о доходах договор негосударственного пенсионного обеспечения, заключенный с негосударственным пенсионным фондом.</w:t>
      </w:r>
    </w:p>
    <w:p w:rsidR="00CC7CB8" w:rsidRDefault="00CC7CB8" w:rsidP="004607FE">
      <w:pPr>
        <w:tabs>
          <w:tab w:val="left" w:pos="709"/>
          <w:tab w:val="center" w:pos="4771"/>
        </w:tabs>
        <w:ind w:firstLine="709"/>
        <w:jc w:val="both"/>
      </w:pPr>
      <w:bookmarkStart w:id="1" w:name="_GoBack"/>
      <w:bookmarkEnd w:id="1"/>
    </w:p>
    <w:p w:rsidR="009C171F" w:rsidRPr="009C171F" w:rsidRDefault="009C17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171F" w:rsidRDefault="009C17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6976" w:rsidRDefault="00286976"/>
    <w:sectPr w:rsidR="00286976" w:rsidSect="00CB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compat/>
  <w:rsids>
    <w:rsidRoot w:val="009C171F"/>
    <w:rsid w:val="00286976"/>
    <w:rsid w:val="004607FE"/>
    <w:rsid w:val="00695A02"/>
    <w:rsid w:val="006A5621"/>
    <w:rsid w:val="006B60BD"/>
    <w:rsid w:val="00926B30"/>
    <w:rsid w:val="009C171F"/>
    <w:rsid w:val="00CC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1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17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4607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f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fl2.nalog.ru/lkfl" TargetMode="External"/><Relationship Id="rId5" Type="http://schemas.openxmlformats.org/officeDocument/2006/relationships/hyperlink" Target="https://lkfl2.nalog.ru/lkfl" TargetMode="External"/><Relationship Id="rId4" Type="http://schemas.openxmlformats.org/officeDocument/2006/relationships/hyperlink" Target="https://login.consultant.ru/link/?req=doc&amp;base=LAW&amp;n=4696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2025-02-12T11:45:00Z</dcterms:created>
  <dcterms:modified xsi:type="dcterms:W3CDTF">2025-02-12T11:45:00Z</dcterms:modified>
</cp:coreProperties>
</file>