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10" w:rsidRDefault="003B4D56" w:rsidP="007E1510">
      <w:pPr>
        <w:autoSpaceDE w:val="0"/>
        <w:autoSpaceDN w:val="0"/>
        <w:adjustRightInd w:val="0"/>
        <w:spacing w:after="0" w:line="240" w:lineRule="auto"/>
        <w:jc w:val="center"/>
        <w:rPr>
          <w:rFonts w:ascii="Times New Roman" w:eastAsiaTheme="minorHAnsi" w:hAnsi="Times New Roman" w:cs="Times New Roman"/>
          <w:b/>
          <w:sz w:val="26"/>
          <w:szCs w:val="26"/>
        </w:rPr>
      </w:pPr>
      <w:r w:rsidRPr="007E1510">
        <w:rPr>
          <w:rFonts w:ascii="Times New Roman" w:eastAsiaTheme="minorHAnsi" w:hAnsi="Times New Roman" w:cs="Times New Roman"/>
          <w:b/>
          <w:sz w:val="26"/>
          <w:szCs w:val="26"/>
        </w:rPr>
        <w:t xml:space="preserve">"Налоговый кодекс Российской Федерации (часть вторая)" </w:t>
      </w:r>
    </w:p>
    <w:p w:rsidR="003B4D56" w:rsidRPr="007E1510" w:rsidRDefault="003B4D56" w:rsidP="007E1510">
      <w:pPr>
        <w:autoSpaceDE w:val="0"/>
        <w:autoSpaceDN w:val="0"/>
        <w:adjustRightInd w:val="0"/>
        <w:spacing w:after="0" w:line="240" w:lineRule="auto"/>
        <w:jc w:val="center"/>
        <w:rPr>
          <w:rFonts w:ascii="Times New Roman" w:eastAsiaTheme="minorHAnsi" w:hAnsi="Times New Roman" w:cs="Times New Roman"/>
          <w:b/>
          <w:sz w:val="26"/>
          <w:szCs w:val="26"/>
        </w:rPr>
      </w:pPr>
      <w:r w:rsidRPr="007E1510">
        <w:rPr>
          <w:rFonts w:ascii="Times New Roman" w:eastAsiaTheme="minorHAnsi" w:hAnsi="Times New Roman" w:cs="Times New Roman"/>
          <w:b/>
          <w:sz w:val="26"/>
          <w:szCs w:val="26"/>
        </w:rPr>
        <w:t>от 05.08.2000 N 117-ФЗ</w:t>
      </w:r>
      <w:bookmarkStart w:id="0" w:name="_GoBack"/>
      <w:bookmarkEnd w:id="0"/>
    </w:p>
    <w:p w:rsidR="003B4D56" w:rsidRPr="007E1510" w:rsidRDefault="003B4D56" w:rsidP="007E1510">
      <w:pPr>
        <w:spacing w:after="0" w:line="240" w:lineRule="auto"/>
        <w:jc w:val="center"/>
        <w:rPr>
          <w:rFonts w:ascii="Times New Roman" w:hAnsi="Times New Roman" w:cs="Times New Roman"/>
          <w:b/>
          <w:sz w:val="26"/>
          <w:szCs w:val="26"/>
        </w:rPr>
      </w:pPr>
      <w:r w:rsidRPr="007E1510">
        <w:rPr>
          <w:rFonts w:ascii="Times New Roman" w:hAnsi="Times New Roman" w:cs="Times New Roman"/>
          <w:b/>
          <w:sz w:val="26"/>
          <w:szCs w:val="26"/>
        </w:rPr>
        <w:t>(извлечение)</w:t>
      </w:r>
    </w:p>
    <w:p w:rsidR="007E1510" w:rsidRDefault="007E1510" w:rsidP="007E1510">
      <w:pPr>
        <w:autoSpaceDE w:val="0"/>
        <w:autoSpaceDN w:val="0"/>
        <w:adjustRightInd w:val="0"/>
        <w:spacing w:after="0" w:line="240" w:lineRule="auto"/>
        <w:ind w:firstLine="709"/>
        <w:jc w:val="both"/>
        <w:rPr>
          <w:rFonts w:ascii="Times New Roman" w:eastAsiaTheme="minorHAnsi" w:hAnsi="Times New Roman" w:cs="Times New Roman"/>
          <w:sz w:val="26"/>
          <w:szCs w:val="26"/>
        </w:rPr>
      </w:pPr>
    </w:p>
    <w:p w:rsidR="003B4D56" w:rsidRPr="007E1510" w:rsidRDefault="003B4D56" w:rsidP="007E1510">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7E1510">
        <w:rPr>
          <w:rFonts w:ascii="Times New Roman" w:eastAsiaTheme="minorHAnsi" w:hAnsi="Times New Roman" w:cs="Times New Roman"/>
          <w:sz w:val="26"/>
          <w:szCs w:val="26"/>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законодательством Российской Федерации, законодательством об административном судопроизводстве;</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если спор о признании права собственности истца (истцов) на это имущество ранее не решался судом - в соответствии с подпунктом 1 пункта 1 статьи 333.19 настоящего Кодекса;</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если ранее суд вынес решение о признании права собственности истца (истцов) на указанное имущество - в соответствии с подпунктом 3 пункта 1 статьи 333.19 настоящего Кодекса;</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статьи 333.19 настоящего Кодекса;</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lastRenderedPageBreak/>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7E1510">
        <w:rPr>
          <w:rFonts w:ascii="Times New Roman" w:hAnsi="Times New Roman" w:cs="Times New Roman"/>
          <w:sz w:val="26"/>
          <w:szCs w:val="26"/>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подпунктом 2 пункта 1 статьи 333.18 настоящего Кодекса;</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подпунктом 2 пункта 1 статьи 333.18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статьей 333.40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11) при подаче исковых заявлений об истребовании наследниками принадлежащей им доли имущества государственная пошлина уплачивается в том порядке,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12) при подаче исковых заявлений о расторжении брака с одновременным разделом совместно нажитого имущества супругов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14) утратил силу. - Федеральный закон от 27.12.2009 N 374-ФЗ;</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 xml:space="preserve">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w:t>
      </w:r>
      <w:r w:rsidRPr="007E1510">
        <w:rPr>
          <w:rFonts w:ascii="Times New Roman" w:hAnsi="Times New Roman" w:cs="Times New Roman"/>
          <w:sz w:val="26"/>
          <w:szCs w:val="26"/>
        </w:rPr>
        <w:lastRenderedPageBreak/>
        <w:t>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статьей 333.41 настоящего Кодекса.</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r w:rsidRPr="007E1510">
        <w:rPr>
          <w:rFonts w:ascii="Times New Roman" w:hAnsi="Times New Roman" w:cs="Times New Roman"/>
          <w:sz w:val="26"/>
          <w:szCs w:val="26"/>
        </w:rPr>
        <w:t>3. Положения настоящей статьи применяются с учетом положений статей 333.35 и 333.36 настоящего Кодекса.</w:t>
      </w: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p>
    <w:p w:rsidR="003B4D56" w:rsidRPr="007E1510" w:rsidRDefault="003B4D56" w:rsidP="007E1510">
      <w:pPr>
        <w:autoSpaceDE w:val="0"/>
        <w:autoSpaceDN w:val="0"/>
        <w:adjustRightInd w:val="0"/>
        <w:spacing w:after="0" w:line="240" w:lineRule="auto"/>
        <w:ind w:firstLine="709"/>
        <w:jc w:val="both"/>
        <w:rPr>
          <w:rFonts w:ascii="Times New Roman" w:hAnsi="Times New Roman" w:cs="Times New Roman"/>
          <w:sz w:val="26"/>
          <w:szCs w:val="26"/>
        </w:rPr>
      </w:pPr>
    </w:p>
    <w:sectPr w:rsidR="003B4D56" w:rsidRPr="007E1510" w:rsidSect="007E1510">
      <w:headerReference w:type="default" r:id="rId8"/>
      <w:pgSz w:w="11906" w:h="16838"/>
      <w:pgMar w:top="1134"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C38" w:rsidRDefault="00132C38" w:rsidP="007E1510">
      <w:pPr>
        <w:spacing w:after="0" w:line="240" w:lineRule="auto"/>
      </w:pPr>
      <w:r>
        <w:separator/>
      </w:r>
    </w:p>
  </w:endnote>
  <w:endnote w:type="continuationSeparator" w:id="0">
    <w:p w:rsidR="00132C38" w:rsidRDefault="00132C38" w:rsidP="007E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C38" w:rsidRDefault="00132C38" w:rsidP="007E1510">
      <w:pPr>
        <w:spacing w:after="0" w:line="240" w:lineRule="auto"/>
      </w:pPr>
      <w:r>
        <w:separator/>
      </w:r>
    </w:p>
  </w:footnote>
  <w:footnote w:type="continuationSeparator" w:id="0">
    <w:p w:rsidR="00132C38" w:rsidRDefault="00132C38" w:rsidP="007E1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458943"/>
      <w:docPartObj>
        <w:docPartGallery w:val="Page Numbers (Top of Page)"/>
        <w:docPartUnique/>
      </w:docPartObj>
    </w:sdtPr>
    <w:sdtEndPr>
      <w:rPr>
        <w:rFonts w:ascii="Times New Roman" w:hAnsi="Times New Roman" w:cs="Times New Roman"/>
        <w:sz w:val="20"/>
        <w:szCs w:val="20"/>
      </w:rPr>
    </w:sdtEndPr>
    <w:sdtContent>
      <w:p w:rsidR="007E1510" w:rsidRDefault="007E1510">
        <w:pPr>
          <w:pStyle w:val="a3"/>
          <w:jc w:val="center"/>
        </w:pPr>
      </w:p>
      <w:p w:rsidR="007E1510" w:rsidRDefault="007E1510">
        <w:pPr>
          <w:pStyle w:val="a3"/>
          <w:jc w:val="center"/>
        </w:pPr>
      </w:p>
      <w:p w:rsidR="007E1510" w:rsidRPr="007E1510" w:rsidRDefault="007E1510">
        <w:pPr>
          <w:pStyle w:val="a3"/>
          <w:jc w:val="center"/>
          <w:rPr>
            <w:rFonts w:ascii="Times New Roman" w:hAnsi="Times New Roman" w:cs="Times New Roman"/>
            <w:sz w:val="20"/>
            <w:szCs w:val="20"/>
          </w:rPr>
        </w:pPr>
        <w:r w:rsidRPr="007E1510">
          <w:rPr>
            <w:rFonts w:ascii="Times New Roman" w:hAnsi="Times New Roman" w:cs="Times New Roman"/>
            <w:sz w:val="20"/>
            <w:szCs w:val="20"/>
          </w:rPr>
          <w:fldChar w:fldCharType="begin"/>
        </w:r>
        <w:r w:rsidRPr="007E1510">
          <w:rPr>
            <w:rFonts w:ascii="Times New Roman" w:hAnsi="Times New Roman" w:cs="Times New Roman"/>
            <w:sz w:val="20"/>
            <w:szCs w:val="20"/>
          </w:rPr>
          <w:instrText>PAGE   \* MERGEFORMAT</w:instrText>
        </w:r>
        <w:r w:rsidRPr="007E1510">
          <w:rPr>
            <w:rFonts w:ascii="Times New Roman" w:hAnsi="Times New Roman" w:cs="Times New Roman"/>
            <w:sz w:val="20"/>
            <w:szCs w:val="20"/>
          </w:rPr>
          <w:fldChar w:fldCharType="separate"/>
        </w:r>
        <w:r>
          <w:rPr>
            <w:rFonts w:ascii="Times New Roman" w:hAnsi="Times New Roman" w:cs="Times New Roman"/>
            <w:noProof/>
            <w:sz w:val="20"/>
            <w:szCs w:val="20"/>
          </w:rPr>
          <w:t>3</w:t>
        </w:r>
        <w:r w:rsidRPr="007E1510">
          <w:rPr>
            <w:rFonts w:ascii="Times New Roman" w:hAnsi="Times New Roman" w:cs="Times New Roman"/>
            <w:sz w:val="20"/>
            <w:szCs w:val="20"/>
          </w:rPr>
          <w:fldChar w:fldCharType="end"/>
        </w:r>
      </w:p>
    </w:sdtContent>
  </w:sdt>
  <w:p w:rsidR="007E1510" w:rsidRDefault="007E15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56"/>
    <w:rsid w:val="00132C38"/>
    <w:rsid w:val="002D6DFE"/>
    <w:rsid w:val="003B4D56"/>
    <w:rsid w:val="00612460"/>
    <w:rsid w:val="007E1510"/>
    <w:rsid w:val="009F1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5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1510"/>
  </w:style>
  <w:style w:type="paragraph" w:styleId="a5">
    <w:name w:val="footer"/>
    <w:basedOn w:val="a"/>
    <w:link w:val="a6"/>
    <w:uiPriority w:val="99"/>
    <w:unhideWhenUsed/>
    <w:rsid w:val="007E15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1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5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1510"/>
  </w:style>
  <w:style w:type="paragraph" w:styleId="a5">
    <w:name w:val="footer"/>
    <w:basedOn w:val="a"/>
    <w:link w:val="a6"/>
    <w:uiPriority w:val="99"/>
    <w:unhideWhenUsed/>
    <w:rsid w:val="007E15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1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365B1-1CA0-42B2-800C-2EC20B76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Deloproizvodstvo</dc:creator>
  <cp:lastModifiedBy>Sudya</cp:lastModifiedBy>
  <cp:revision>3</cp:revision>
  <cp:lastPrinted>2025-10-08T06:59:00Z</cp:lastPrinted>
  <dcterms:created xsi:type="dcterms:W3CDTF">2025-10-08T06:47:00Z</dcterms:created>
  <dcterms:modified xsi:type="dcterms:W3CDTF">2025-11-12T23:38:00Z</dcterms:modified>
</cp:coreProperties>
</file>