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B60C3A">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B60C3A">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B60C3A">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B60C3A">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B60C3A">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B60C3A">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13</w:t>
            </w:r>
            <w:r w:rsidR="000B32DF" w:rsidRPr="000B32DF">
              <w:rPr>
                <w:rFonts w:ascii="Times New Roman" w:hAnsi="Times New Roman"/>
                <w:noProof/>
                <w:webHidden/>
                <w:sz w:val="28"/>
                <w:szCs w:val="28"/>
              </w:rPr>
              <w:fldChar w:fldCharType="end"/>
            </w:r>
          </w:hyperlink>
        </w:p>
        <w:p w14:paraId="6DF844EC" w14:textId="77777777" w:rsidR="000B32DF" w:rsidRPr="000B32DF" w:rsidRDefault="00B60C3A">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B60C3A">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B60C3A">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15</w:t>
            </w:r>
            <w:r w:rsidR="000B32DF" w:rsidRPr="000B32DF">
              <w:rPr>
                <w:rFonts w:ascii="Times New Roman" w:hAnsi="Times New Roman"/>
                <w:noProof/>
                <w:webHidden/>
                <w:sz w:val="28"/>
                <w:szCs w:val="28"/>
              </w:rPr>
              <w:fldChar w:fldCharType="end"/>
            </w:r>
          </w:hyperlink>
        </w:p>
        <w:p w14:paraId="2625F5B6" w14:textId="77777777" w:rsidR="000B32DF" w:rsidRPr="000B32DF" w:rsidRDefault="00B60C3A">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B60C3A">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B60C3A">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19</w:t>
            </w:r>
            <w:r w:rsidR="000B32DF" w:rsidRPr="000B32DF">
              <w:rPr>
                <w:rFonts w:ascii="Times New Roman" w:hAnsi="Times New Roman"/>
                <w:noProof/>
                <w:webHidden/>
                <w:sz w:val="28"/>
                <w:szCs w:val="28"/>
              </w:rPr>
              <w:fldChar w:fldCharType="end"/>
            </w:r>
          </w:hyperlink>
        </w:p>
        <w:p w14:paraId="7DA58AD8" w14:textId="77777777" w:rsidR="000B32DF" w:rsidRPr="000B32DF" w:rsidRDefault="00B60C3A">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B60C3A">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B60C3A">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B60C3A">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B60C3A">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28</w:t>
            </w:r>
            <w:r w:rsidR="000B32DF" w:rsidRPr="000B32DF">
              <w:rPr>
                <w:rFonts w:ascii="Times New Roman" w:hAnsi="Times New Roman"/>
                <w:noProof/>
                <w:webHidden/>
                <w:sz w:val="28"/>
                <w:szCs w:val="28"/>
              </w:rPr>
              <w:fldChar w:fldCharType="end"/>
            </w:r>
          </w:hyperlink>
        </w:p>
        <w:p w14:paraId="3E32E3E1" w14:textId="77777777" w:rsidR="000B32DF" w:rsidRPr="000B32DF" w:rsidRDefault="00B60C3A">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B60C3A">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B60C3A">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086B83D3" w14:textId="77777777" w:rsidR="000B32DF" w:rsidRPr="000B32DF" w:rsidRDefault="00B60C3A">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1FACDC51" w14:textId="77777777" w:rsidR="000B32DF" w:rsidRPr="000B32DF" w:rsidRDefault="00B60C3A">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B60C3A">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B60C3A">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39</w:t>
            </w:r>
            <w:r w:rsidR="000B32DF" w:rsidRPr="000B32DF">
              <w:rPr>
                <w:rFonts w:ascii="Times New Roman" w:hAnsi="Times New Roman"/>
                <w:noProof/>
                <w:webHidden/>
                <w:sz w:val="28"/>
                <w:szCs w:val="28"/>
              </w:rPr>
              <w:fldChar w:fldCharType="end"/>
            </w:r>
          </w:hyperlink>
        </w:p>
        <w:p w14:paraId="08E8FE93" w14:textId="77777777" w:rsidR="000B32DF" w:rsidRPr="000B32DF" w:rsidRDefault="00B60C3A">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B60C3A">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24C3538E" w14:textId="77777777" w:rsidR="000B32DF" w:rsidRPr="000B32DF" w:rsidRDefault="00B60C3A">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4694221" w14:textId="77777777" w:rsidR="000B32DF" w:rsidRPr="000B32DF" w:rsidRDefault="00B60C3A">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B60C3A">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722F24CA" w14:textId="77777777" w:rsidR="000B32DF" w:rsidRPr="000B32DF" w:rsidRDefault="00B60C3A">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43</w:t>
            </w:r>
            <w:r w:rsidR="000B32DF" w:rsidRPr="000B32DF">
              <w:rPr>
                <w:rFonts w:ascii="Times New Roman" w:hAnsi="Times New Roman"/>
                <w:noProof/>
                <w:webHidden/>
                <w:sz w:val="28"/>
                <w:szCs w:val="28"/>
              </w:rPr>
              <w:fldChar w:fldCharType="end"/>
            </w:r>
          </w:hyperlink>
        </w:p>
        <w:p w14:paraId="15A33C71" w14:textId="77777777" w:rsidR="000B32DF" w:rsidRPr="000B32DF" w:rsidRDefault="00B60C3A">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43</w:t>
            </w:r>
            <w:r w:rsidR="000B32DF" w:rsidRPr="000B32DF">
              <w:rPr>
                <w:rFonts w:ascii="Times New Roman" w:hAnsi="Times New Roman"/>
                <w:noProof/>
                <w:webHidden/>
                <w:sz w:val="28"/>
                <w:szCs w:val="28"/>
              </w:rPr>
              <w:fldChar w:fldCharType="end"/>
            </w:r>
          </w:hyperlink>
        </w:p>
        <w:p w14:paraId="3252739F" w14:textId="77777777" w:rsidR="000B32DF" w:rsidRPr="000B32DF" w:rsidRDefault="00B60C3A">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202A79EC" w14:textId="77777777" w:rsidR="000B32DF" w:rsidRPr="000B32DF" w:rsidRDefault="00B60C3A">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50</w:t>
            </w:r>
            <w:r w:rsidR="000B32DF" w:rsidRPr="000B32DF">
              <w:rPr>
                <w:rFonts w:ascii="Times New Roman" w:hAnsi="Times New Roman"/>
                <w:noProof/>
                <w:webHidden/>
                <w:sz w:val="28"/>
                <w:szCs w:val="28"/>
              </w:rPr>
              <w:fldChar w:fldCharType="end"/>
            </w:r>
          </w:hyperlink>
        </w:p>
        <w:p w14:paraId="18942070" w14:textId="77777777" w:rsidR="000B32DF" w:rsidRPr="000B32DF" w:rsidRDefault="00B60C3A">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B60C3A">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B60C3A">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53</w:t>
            </w:r>
            <w:r w:rsidR="000B32DF" w:rsidRPr="000B32DF">
              <w:rPr>
                <w:rFonts w:ascii="Times New Roman" w:hAnsi="Times New Roman"/>
                <w:noProof/>
                <w:webHidden/>
                <w:sz w:val="28"/>
                <w:szCs w:val="28"/>
              </w:rPr>
              <w:fldChar w:fldCharType="end"/>
            </w:r>
          </w:hyperlink>
        </w:p>
        <w:p w14:paraId="1EC331A0" w14:textId="77777777" w:rsidR="000B32DF" w:rsidRPr="000B32DF" w:rsidRDefault="00B60C3A">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59</w:t>
            </w:r>
            <w:r w:rsidR="000B32DF" w:rsidRPr="000B32DF">
              <w:rPr>
                <w:rFonts w:ascii="Times New Roman" w:hAnsi="Times New Roman"/>
                <w:noProof/>
                <w:webHidden/>
                <w:sz w:val="28"/>
                <w:szCs w:val="28"/>
              </w:rPr>
              <w:fldChar w:fldCharType="end"/>
            </w:r>
          </w:hyperlink>
        </w:p>
        <w:p w14:paraId="41538DEF" w14:textId="77777777" w:rsidR="000B32DF" w:rsidRPr="000B32DF" w:rsidRDefault="00B60C3A">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59</w:t>
            </w:r>
            <w:r w:rsidR="000B32DF" w:rsidRPr="000B32DF">
              <w:rPr>
                <w:rFonts w:ascii="Times New Roman" w:hAnsi="Times New Roman"/>
                <w:noProof/>
                <w:webHidden/>
                <w:sz w:val="28"/>
                <w:szCs w:val="28"/>
              </w:rPr>
              <w:fldChar w:fldCharType="end"/>
            </w:r>
          </w:hyperlink>
        </w:p>
        <w:p w14:paraId="3D78D640" w14:textId="77777777" w:rsidR="000B32DF" w:rsidRPr="000B32DF" w:rsidRDefault="00B60C3A">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5FC03994" w14:textId="77777777" w:rsidR="000B32DF" w:rsidRPr="000B32DF" w:rsidRDefault="00B60C3A">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6C6DC4EB" w14:textId="77777777" w:rsidR="000B32DF" w:rsidRPr="000B32DF" w:rsidRDefault="00B60C3A">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B60C3A">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B60C3A">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5585A901" w14:textId="77777777" w:rsidR="000B32DF" w:rsidRPr="000B32DF" w:rsidRDefault="00B60C3A">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65</w:t>
            </w:r>
            <w:r w:rsidR="000B32DF" w:rsidRPr="000B32DF">
              <w:rPr>
                <w:rFonts w:ascii="Times New Roman" w:hAnsi="Times New Roman"/>
                <w:noProof/>
                <w:webHidden/>
                <w:sz w:val="28"/>
                <w:szCs w:val="28"/>
              </w:rPr>
              <w:fldChar w:fldCharType="end"/>
            </w:r>
          </w:hyperlink>
        </w:p>
        <w:p w14:paraId="03B17218" w14:textId="77777777" w:rsidR="000B32DF" w:rsidRPr="000B32DF" w:rsidRDefault="00B60C3A">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65</w:t>
            </w:r>
            <w:r w:rsidR="000B32DF" w:rsidRPr="000B32DF">
              <w:rPr>
                <w:rFonts w:ascii="Times New Roman" w:hAnsi="Times New Roman"/>
                <w:noProof/>
                <w:webHidden/>
                <w:sz w:val="28"/>
                <w:szCs w:val="28"/>
              </w:rPr>
              <w:fldChar w:fldCharType="end"/>
            </w:r>
          </w:hyperlink>
        </w:p>
        <w:p w14:paraId="4972B751" w14:textId="77777777" w:rsidR="000B32DF" w:rsidRPr="000B32DF" w:rsidRDefault="00B60C3A">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67</w:t>
            </w:r>
            <w:r w:rsidR="000B32DF" w:rsidRPr="000B32DF">
              <w:rPr>
                <w:rFonts w:ascii="Times New Roman" w:hAnsi="Times New Roman"/>
                <w:noProof/>
                <w:webHidden/>
                <w:sz w:val="28"/>
                <w:szCs w:val="28"/>
              </w:rPr>
              <w:fldChar w:fldCharType="end"/>
            </w:r>
          </w:hyperlink>
        </w:p>
        <w:p w14:paraId="50EF8BE5" w14:textId="77777777" w:rsidR="000B32DF" w:rsidRPr="000B32DF" w:rsidRDefault="00B60C3A">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72</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0" w:name="_Toc225936053"/>
      <w:r w:rsidRPr="009637CB">
        <w:rPr>
          <w:rFonts w:ascii="Times New Roman" w:hAnsi="Times New Roman"/>
          <w:b/>
          <w:sz w:val="28"/>
          <w:szCs w:val="28"/>
        </w:rPr>
        <w:lastRenderedPageBreak/>
        <w:t>Введение</w:t>
      </w:r>
      <w:bookmarkEnd w:id="0"/>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C47AC3">
        <w:rPr>
          <w:rFonts w:ascii="Times New Roman" w:hAnsi="Times New Roman"/>
          <w:sz w:val="28"/>
          <w:szCs w:val="28"/>
        </w:rPr>
        <w:t>,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proofErr w:type="gramStart"/>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w:t>
      </w:r>
      <w:proofErr w:type="gramEnd"/>
      <w:r w:rsidR="00CF22F2" w:rsidRPr="000A6560">
        <w:rPr>
          <w:rFonts w:ascii="Times New Roman" w:hAnsi="Times New Roman"/>
          <w:sz w:val="28"/>
        </w:rPr>
        <w:t xml:space="preserve">, поставленных перед федеральными государственными органами, поручено при реализации требований законодательства о противодействии коррупции </w:t>
      </w:r>
      <w:proofErr w:type="gramStart"/>
      <w:r w:rsidR="00CF22F2" w:rsidRPr="000A6560">
        <w:rPr>
          <w:rFonts w:ascii="Times New Roman" w:hAnsi="Times New Roman"/>
          <w:sz w:val="28"/>
        </w:rPr>
        <w:t>руководствоваться</w:t>
      </w:r>
      <w:proofErr w:type="gramEnd"/>
      <w:r w:rsidR="00CF22F2" w:rsidRPr="000A6560">
        <w:rPr>
          <w:rFonts w:ascii="Times New Roman" w:hAnsi="Times New Roman"/>
          <w:sz w:val="28"/>
        </w:rPr>
        <w:t xml:space="preserve">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w:t>
      </w:r>
      <w:proofErr w:type="gramEnd"/>
      <w:r w:rsidRPr="00C47AC3">
        <w:rPr>
          <w:rFonts w:ascii="Times New Roman" w:hAnsi="Times New Roman"/>
          <w:sz w:val="28"/>
          <w:szCs w:val="28"/>
        </w:rP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w:t>
      </w:r>
      <w:proofErr w:type="gramEnd"/>
      <w:r w:rsidRPr="00C47AC3">
        <w:rPr>
          <w:rFonts w:ascii="Times New Roman" w:hAnsi="Times New Roman"/>
          <w:sz w:val="28"/>
          <w:szCs w:val="28"/>
        </w:rPr>
        <w:t xml:space="preserve"> </w:t>
      </w:r>
      <w:proofErr w:type="gramStart"/>
      <w:r w:rsidRPr="00C47AC3">
        <w:rPr>
          <w:rFonts w:ascii="Times New Roman" w:hAnsi="Times New Roman"/>
          <w:sz w:val="28"/>
          <w:szCs w:val="28"/>
        </w:rPr>
        <w:t>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roofErr w:type="gramEnd"/>
    </w:p>
    <w:p w14:paraId="01E8DA16" w14:textId="7DB8AA1A"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w:t>
      </w:r>
      <w:proofErr w:type="gramEnd"/>
      <w:r w:rsidRPr="00C47AC3">
        <w:rPr>
          <w:rFonts w:ascii="Times New Roman" w:hAnsi="Times New Roman"/>
          <w:sz w:val="28"/>
          <w:szCs w:val="28"/>
        </w:rPr>
        <w:t xml:space="preserve">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proofErr w:type="gramStart"/>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proofErr w:type="gramEnd"/>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1" w:name="_Лица,_обязанные_представлять"/>
      <w:bookmarkStart w:id="2" w:name="_Toc225936054"/>
      <w:bookmarkEnd w:id="1"/>
      <w:r w:rsidRPr="00F2545E">
        <w:t>Лица, обязанные представлять сведения о доходах, расходах, об имуществе и обязательствах имущественного характера</w:t>
      </w:r>
      <w:bookmarkEnd w:id="2"/>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proofErr w:type="gramStart"/>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w:t>
      </w:r>
      <w:proofErr w:type="gramEnd"/>
      <w:r w:rsidRPr="002937E4">
        <w:rPr>
          <w:rFonts w:ascii="Times New Roman" w:hAnsi="Times New Roman"/>
          <w:sz w:val="28"/>
          <w:szCs w:val="28"/>
        </w:rPr>
        <w:t xml:space="preserve">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proofErr w:type="gramStart"/>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корпораций</w:t>
      </w:r>
      <w:proofErr w:type="gramEnd"/>
      <w:r w:rsidR="007A6A13" w:rsidRPr="00260F9E">
        <w:rPr>
          <w:rFonts w:ascii="Times New Roman" w:hAnsi="Times New Roman"/>
          <w:sz w:val="28"/>
          <w:szCs w:val="28"/>
        </w:rPr>
        <w:t xml:space="preserve">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3" w:name="Лица"/>
      <w:bookmarkStart w:id="4"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proofErr w:type="gramStart"/>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корпораций (компаний</w:t>
      </w:r>
      <w:proofErr w:type="gramEnd"/>
      <w:r w:rsidR="00891EC4">
        <w:rPr>
          <w:rFonts w:ascii="Times New Roman" w:hAnsi="Times New Roman"/>
          <w:sz w:val="28"/>
          <w:szCs w:val="28"/>
        </w:rPr>
        <w:t xml:space="preserve">),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3"/>
    <w:bookmarkEnd w:id="4"/>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w:t>
      </w:r>
      <w:proofErr w:type="gramEnd"/>
      <w:r w:rsidR="001B3826" w:rsidRPr="00BA3E6D">
        <w:rPr>
          <w:rFonts w:ascii="Times New Roman" w:hAnsi="Times New Roman"/>
          <w:sz w:val="28"/>
          <w:szCs w:val="28"/>
        </w:rPr>
        <w:t xml:space="preserve">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proofErr w:type="gramStart"/>
      <w:r w:rsidR="00822085">
        <w:rPr>
          <w:color w:val="000000"/>
          <w:sz w:val="28"/>
          <w:szCs w:val="28"/>
        </w:rPr>
        <w:t>возможно</w:t>
      </w:r>
      <w:proofErr w:type="gramEnd"/>
      <w:r w:rsidR="00822085">
        <w:rPr>
          <w:color w:val="000000"/>
          <w:sz w:val="28"/>
          <w:szCs w:val="28"/>
        </w:rPr>
        <w:t xml:space="preserve">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w:t>
      </w:r>
      <w:proofErr w:type="gramStart"/>
      <w:r w:rsidRPr="006A7568">
        <w:rPr>
          <w:rFonts w:ascii="Times New Roman" w:hAnsi="Times New Roman"/>
          <w:color w:val="000000"/>
          <w:sz w:val="28"/>
          <w:szCs w:val="28"/>
        </w:rPr>
        <w:t>связи</w:t>
      </w:r>
      <w:proofErr w:type="gramEnd"/>
      <w:r w:rsidRPr="006A7568">
        <w:rPr>
          <w:rFonts w:ascii="Times New Roman" w:hAnsi="Times New Roman"/>
          <w:color w:val="000000"/>
          <w:sz w:val="28"/>
          <w:szCs w:val="28"/>
        </w:rPr>
        <w:t xml:space="preserve">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proofErr w:type="gramStart"/>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BA3E6D">
        <w:rPr>
          <w:rFonts w:ascii="Times New Roman" w:hAnsi="Times New Roman"/>
          <w:sz w:val="28"/>
          <w:szCs w:val="28"/>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5" w:name="пункт4"/>
      <w:bookmarkStart w:id="6" w:name="Сведений"/>
      <w:proofErr w:type="gramStart"/>
      <w:r w:rsidRPr="00BA3E6D">
        <w:rPr>
          <w:rFonts w:ascii="Times New Roman" w:hAnsi="Times New Roman"/>
          <w:sz w:val="28"/>
          <w:szCs w:val="28"/>
        </w:rPr>
        <w:t>Сведения</w:t>
      </w:r>
      <w:bookmarkEnd w:id="5"/>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w:t>
      </w:r>
      <w:proofErr w:type="gramEnd"/>
      <w:r w:rsidRPr="00234846">
        <w:rPr>
          <w:rFonts w:ascii="Times New Roman" w:hAnsi="Times New Roman"/>
          <w:sz w:val="28"/>
          <w:szCs w:val="28"/>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7" w:name="_Toc225936055"/>
      <w:bookmarkEnd w:id="6"/>
      <w:r w:rsidRPr="00F2545E">
        <w:t>Обязательность представления Сведений</w:t>
      </w:r>
      <w:bookmarkEnd w:id="7"/>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proofErr w:type="gramStart"/>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w:t>
      </w:r>
      <w:proofErr w:type="gramEnd"/>
      <w:r w:rsidR="00032299" w:rsidRPr="00F11D42">
        <w:rPr>
          <w:rFonts w:ascii="Times New Roman" w:hAnsi="Times New Roman"/>
          <w:sz w:val="28"/>
        </w:rPr>
        <w:t xml:space="preserve"> </w:t>
      </w:r>
      <w:proofErr w:type="gramStart"/>
      <w:r w:rsidR="00032299" w:rsidRPr="00F11D42">
        <w:rPr>
          <w:rFonts w:ascii="Times New Roman" w:hAnsi="Times New Roman"/>
          <w:sz w:val="28"/>
        </w:rPr>
        <w:t xml:space="preserve">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w:t>
      </w:r>
      <w:proofErr w:type="gramEnd"/>
      <w:r w:rsidR="00032299" w:rsidRPr="00F11D42">
        <w:rPr>
          <w:rFonts w:ascii="Times New Roman" w:hAnsi="Times New Roman"/>
          <w:sz w:val="28"/>
        </w:rPr>
        <w:t xml:space="preserve"> </w:t>
      </w:r>
      <w:proofErr w:type="gramStart"/>
      <w:r w:rsidR="00032299" w:rsidRPr="00F11D42">
        <w:rPr>
          <w:rFonts w:ascii="Times New Roman" w:hAnsi="Times New Roman"/>
          <w:sz w:val="28"/>
        </w:rPr>
        <w:t>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roofErr w:type="gramEnd"/>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соответствующим</w:t>
      </w:r>
      <w:proofErr w:type="gramEnd"/>
      <w:r w:rsidR="00E610C3">
        <w:rPr>
          <w:rFonts w:ascii="Times New Roman" w:hAnsi="Times New Roman"/>
          <w:sz w:val="28"/>
          <w:szCs w:val="28"/>
        </w:rPr>
        <w:t xml:space="preserve">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roofErr w:type="gramEnd"/>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proofErr w:type="gramStart"/>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sidR="0060508A" w:rsidRPr="00FA5A85">
        <w:rPr>
          <w:rFonts w:ascii="Times New Roman" w:hAnsi="Times New Roman"/>
          <w:sz w:val="28"/>
          <w:szCs w:val="28"/>
        </w:rPr>
        <w:t>,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лица, направленные (командированные) для выполнения задач</w:t>
      </w:r>
      <w:proofErr w:type="gramEnd"/>
      <w:r w:rsidR="0036730C" w:rsidRPr="00C621E4">
        <w:rPr>
          <w:rFonts w:ascii="Times New Roman" w:hAnsi="Times New Roman"/>
          <w:sz w:val="28"/>
          <w:szCs w:val="28"/>
        </w:rPr>
        <w:t xml:space="preserve">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w:t>
      </w:r>
      <w:proofErr w:type="gramEnd"/>
      <w:r w:rsidRPr="00F73444">
        <w:rPr>
          <w:rFonts w:ascii="Times New Roman" w:hAnsi="Times New Roman"/>
          <w:sz w:val="28"/>
          <w:szCs w:val="28"/>
        </w:rPr>
        <w:t xml:space="preserve">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8"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9" w:name="_Toc225936056"/>
      <w:bookmarkEnd w:id="8"/>
      <w:r w:rsidRPr="00F2545E">
        <w:t>Сроки представления Сведений</w:t>
      </w:r>
      <w:bookmarkEnd w:id="9"/>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В случае</w:t>
      </w:r>
      <w:proofErr w:type="gramStart"/>
      <w:r w:rsidRPr="00AB2D19">
        <w:rPr>
          <w:rFonts w:ascii="Times New Roman" w:hAnsi="Times New Roman"/>
          <w:sz w:val="28"/>
          <w:szCs w:val="28"/>
        </w:rPr>
        <w:t>,</w:t>
      </w:r>
      <w:proofErr w:type="gramEnd"/>
      <w:r w:rsidRPr="00AB2D19">
        <w:rPr>
          <w:rFonts w:ascii="Times New Roman" w:hAnsi="Times New Roman"/>
          <w:sz w:val="28"/>
          <w:szCs w:val="28"/>
        </w:rPr>
        <w:t xml:space="preserve">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0"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proofErr w:type="gramStart"/>
      <w:r w:rsidR="00984868" w:rsidRPr="00984868">
        <w:rPr>
          <w:rFonts w:ascii="Times New Roman" w:hAnsi="Times New Roman"/>
          <w:sz w:val="28"/>
          <w:szCs w:val="28"/>
        </w:rPr>
        <w:lastRenderedPageBreak/>
        <w:t>контроле за</w:t>
      </w:r>
      <w:proofErr w:type="gramEnd"/>
      <w:r w:rsidR="00984868" w:rsidRPr="00984868">
        <w:rPr>
          <w:rFonts w:ascii="Times New Roman" w:hAnsi="Times New Roman"/>
          <w:sz w:val="28"/>
          <w:szCs w:val="28"/>
        </w:rPr>
        <w:t xml:space="preserve">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0"/>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proofErr w:type="gramStart"/>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ведения им были представлены в</w:t>
      </w:r>
      <w:proofErr w:type="gramEnd"/>
      <w:r w:rsidR="00D243FA" w:rsidRPr="00D243FA">
        <w:rPr>
          <w:rFonts w:ascii="Times New Roman" w:hAnsi="Times New Roman"/>
          <w:sz w:val="28"/>
          <w:szCs w:val="28"/>
        </w:rPr>
        <w:t xml:space="preserve"> год назначения, а </w:t>
      </w:r>
      <w:proofErr w:type="gramStart"/>
      <w:r w:rsidR="00D243FA" w:rsidRPr="00D243FA">
        <w:rPr>
          <w:rFonts w:ascii="Times New Roman" w:hAnsi="Times New Roman"/>
          <w:sz w:val="28"/>
          <w:szCs w:val="28"/>
        </w:rPr>
        <w:t>также</w:t>
      </w:r>
      <w:proofErr w:type="gramEnd"/>
      <w:r w:rsidR="00D243FA" w:rsidRPr="00D243FA">
        <w:rPr>
          <w:rFonts w:ascii="Times New Roman" w:hAnsi="Times New Roman"/>
          <w:sz w:val="28"/>
          <w:szCs w:val="28"/>
        </w:rPr>
        <w:t xml:space="preserve">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proofErr w:type="gramStart"/>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w:t>
      </w:r>
      <w:proofErr w:type="gramEnd"/>
      <w:r w:rsidR="00C64666">
        <w:rPr>
          <w:sz w:val="28"/>
          <w:szCs w:val="28"/>
        </w:rPr>
        <w:t xml:space="preserve">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1" w:name="_Toc225936057"/>
      <w:r w:rsidRPr="00F2545E">
        <w:t>Лица, в отношении которых представляются Сведения</w:t>
      </w:r>
      <w:bookmarkEnd w:id="11"/>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2" w:name="_Toc225936058"/>
      <w:r w:rsidRPr="00D3300B">
        <w:lastRenderedPageBreak/>
        <w:t>Отчетный период и отчетная дата представления Сведений</w:t>
      </w:r>
      <w:bookmarkEnd w:id="12"/>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3"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w:t>
      </w:r>
      <w:proofErr w:type="gramEnd"/>
      <w:r w:rsidRPr="002937E4">
        <w:rPr>
          <w:rFonts w:ascii="Times New Roman" w:hAnsi="Times New Roman"/>
          <w:sz w:val="28"/>
          <w:szCs w:val="28"/>
        </w:rPr>
        <w:t xml:space="preserve">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proofErr w:type="gramStart"/>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w:t>
      </w:r>
      <w:proofErr w:type="gramEnd"/>
      <w:r w:rsidRPr="002937E4">
        <w:rPr>
          <w:rFonts w:ascii="Times New Roman" w:hAnsi="Times New Roman"/>
          <w:sz w:val="28"/>
          <w:szCs w:val="28"/>
        </w:rPr>
        <w:t xml:space="preserve">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roofErr w:type="gramEnd"/>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4" w:name="_Hlk153818148"/>
      <w:bookmarkEnd w:id="13"/>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4"/>
    </w:p>
    <w:p w14:paraId="7CA346FB" w14:textId="07B8048A" w:rsidR="004D5762" w:rsidRPr="00A000AB" w:rsidRDefault="00CF22F2" w:rsidP="00F55DA8">
      <w:pPr>
        <w:pStyle w:val="2"/>
      </w:pPr>
      <w:bookmarkStart w:id="15" w:name="_Toc225936059"/>
      <w:r w:rsidRPr="00A000AB">
        <w:t>Замещение конкретной должности на отчетную дату как основание для представления Сведений</w:t>
      </w:r>
      <w:bookmarkEnd w:id="15"/>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roofErr w:type="gramEnd"/>
    </w:p>
    <w:p w14:paraId="73B11690" w14:textId="553B1E94"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w:t>
      </w:r>
      <w:proofErr w:type="gramEnd"/>
      <w:r w:rsidRPr="002937E4">
        <w:rPr>
          <w:rFonts w:ascii="Times New Roman" w:hAnsi="Times New Roman"/>
          <w:sz w:val="28"/>
          <w:szCs w:val="28"/>
        </w:rPr>
        <w:t xml:space="preserve">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roofErr w:type="gramEnd"/>
    </w:p>
    <w:p w14:paraId="14DCB01E" w14:textId="6FE9DD8B"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14:paraId="715D34F4" w14:textId="77777777" w:rsidR="004D5762" w:rsidRPr="00946DAB" w:rsidRDefault="00CF22F2" w:rsidP="00F55DA8">
      <w:pPr>
        <w:pStyle w:val="2"/>
      </w:pPr>
      <w:bookmarkStart w:id="16" w:name="_Toc225936060"/>
      <w:r w:rsidRPr="00F2545E">
        <w:t>Определение круга лиц (членов семьи), в отношении которых необходимо представить Сведения</w:t>
      </w:r>
      <w:bookmarkEnd w:id="16"/>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7" w:name="_Toc225936061"/>
      <w:r w:rsidRPr="00F2545E">
        <w:lastRenderedPageBreak/>
        <w:t>Супруги</w:t>
      </w:r>
      <w:bookmarkEnd w:id="17"/>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roofErr w:type="gramEnd"/>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8" w:name="_Toc225936062"/>
      <w:r w:rsidRPr="000315CC">
        <w:rPr>
          <w:rFonts w:ascii="Times New Roman" w:hAnsi="Times New Roman"/>
          <w:b/>
          <w:sz w:val="28"/>
          <w:szCs w:val="28"/>
        </w:rPr>
        <w:t>Несовершеннолетние дети</w:t>
      </w:r>
      <w:bookmarkEnd w:id="18"/>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19" w:name="_Toc225936063"/>
      <w:r w:rsidRPr="002937E4">
        <w:rPr>
          <w:rFonts w:ascii="Times New Roman" w:hAnsi="Times New Roman"/>
          <w:b/>
          <w:sz w:val="28"/>
          <w:szCs w:val="28"/>
        </w:rPr>
        <w:t>Уточнение представленных Сведений</w:t>
      </w:r>
      <w:bookmarkEnd w:id="19"/>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roofErr w:type="gramEnd"/>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 xml:space="preserve">апреля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0"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0"/>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1" w:name="Причины"/>
      <w:proofErr w:type="gramStart"/>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w:t>
      </w:r>
      <w:proofErr w:type="gramEnd"/>
      <w:r w:rsidR="00EA74AB" w:rsidRPr="002937E4">
        <w:rPr>
          <w:rFonts w:ascii="Times New Roman" w:hAnsi="Times New Roman"/>
          <w:sz w:val="28"/>
          <w:szCs w:val="28"/>
        </w:rPr>
        <w:t xml:space="preserve"> </w:t>
      </w:r>
      <w:proofErr w:type="gramStart"/>
      <w:r w:rsidR="00EA74AB" w:rsidRPr="002937E4">
        <w:rPr>
          <w:rFonts w:ascii="Times New Roman" w:hAnsi="Times New Roman"/>
          <w:sz w:val="28"/>
          <w:szCs w:val="28"/>
        </w:rPr>
        <w:t>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w:t>
      </w:r>
      <w:proofErr w:type="gramEnd"/>
      <w:r w:rsidR="0032053F" w:rsidRPr="00EA74AB">
        <w:rPr>
          <w:rFonts w:ascii="Times New Roman" w:hAnsi="Times New Roman"/>
          <w:sz w:val="28"/>
          <w:szCs w:val="28"/>
        </w:rPr>
        <w:t xml:space="preserve">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1"/>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2"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2"/>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proofErr w:type="gramStart"/>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w:t>
            </w:r>
            <w:proofErr w:type="gramEnd"/>
            <w:r w:rsidR="00844F39" w:rsidRPr="00A674B7">
              <w:rPr>
                <w:rFonts w:ascii="Times New Roman" w:hAnsi="Times New Roman"/>
                <w:sz w:val="28"/>
                <w:szCs w:val="28"/>
              </w:rPr>
              <w:t xml:space="preserve">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roofErr w:type="gramEnd"/>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3"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3"/>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4" w:name="двойной"/>
      <w:proofErr w:type="gramStart"/>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w:t>
      </w:r>
      <w:proofErr w:type="gramEnd"/>
      <w:r w:rsidR="00806972" w:rsidRPr="004B5F02">
        <w:rPr>
          <w:rFonts w:ascii="Times New Roman" w:hAnsi="Times New Roman"/>
          <w:sz w:val="28"/>
          <w:szCs w:val="28"/>
        </w:rPr>
        <w:t xml:space="preserve">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00806972" w:rsidRPr="004B5F02">
        <w:rPr>
          <w:rFonts w:ascii="Times New Roman" w:hAnsi="Times New Roman"/>
          <w:sz w:val="28"/>
          <w:szCs w:val="28"/>
        </w:rPr>
        <w:t>,</w:t>
      </w:r>
      <w:proofErr w:type="gramEnd"/>
      <w:r w:rsidR="00806972" w:rsidRPr="004B5F02">
        <w:rPr>
          <w:rFonts w:ascii="Times New Roman" w:hAnsi="Times New Roman"/>
          <w:sz w:val="28"/>
          <w:szCs w:val="28"/>
        </w:rPr>
        <w:t xml:space="preserve">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5" w:name="_Toc225936066"/>
      <w:bookmarkEnd w:id="24"/>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5"/>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proofErr w:type="gramStart"/>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0F5E87">
        <w:rPr>
          <w:rFonts w:ascii="Times New Roman" w:hAnsi="Times New Roman"/>
          <w:sz w:val="28"/>
          <w:szCs w:val="28"/>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proofErr w:type="gramStart"/>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roofErr w:type="gramEnd"/>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w:t>
      </w:r>
      <w:proofErr w:type="gramStart"/>
      <w:r w:rsidRPr="002937E4">
        <w:rPr>
          <w:rFonts w:ascii="Times New Roman" w:hAnsi="Times New Roman"/>
          <w:sz w:val="28"/>
          <w:szCs w:val="28"/>
        </w:rPr>
        <w:t>ст спр</w:t>
      </w:r>
      <w:proofErr w:type="gramEnd"/>
      <w:r w:rsidRPr="002937E4">
        <w:rPr>
          <w:rFonts w:ascii="Times New Roman" w:hAnsi="Times New Roman"/>
          <w:sz w:val="28"/>
          <w:szCs w:val="28"/>
        </w:rPr>
        <w:t>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 xml:space="preserve">ранее отчетной даты, указываемой на титульном листе справки, или позднее даты </w:t>
      </w:r>
      <w:proofErr w:type="gramStart"/>
      <w:r w:rsidRPr="00B22F77">
        <w:rPr>
          <w:rFonts w:ascii="Times New Roman" w:hAnsi="Times New Roman"/>
          <w:sz w:val="28"/>
          <w:szCs w:val="28"/>
        </w:rPr>
        <w:t>заверения достоверности</w:t>
      </w:r>
      <w:proofErr w:type="gramEnd"/>
      <w:r w:rsidRPr="00B22F77">
        <w:rPr>
          <w:rFonts w:ascii="Times New Roman" w:hAnsi="Times New Roman"/>
          <w:sz w:val="28"/>
          <w:szCs w:val="28"/>
        </w:rPr>
        <w:t xml:space="preserve">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proofErr w:type="gramStart"/>
      <w:r w:rsidRPr="002937E4">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На последней странице подпись ставится в специально </w:t>
      </w:r>
      <w:r w:rsidRPr="006848CC">
        <w:rPr>
          <w:rFonts w:ascii="Times New Roman" w:hAnsi="Times New Roman"/>
          <w:sz w:val="28"/>
          <w:szCs w:val="28"/>
        </w:rPr>
        <w:t>отведенном месте);</w:t>
      </w:r>
      <w:proofErr w:type="gramEnd"/>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6"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w:t>
      </w:r>
      <w:proofErr w:type="gramStart"/>
      <w:r w:rsidRPr="00234327">
        <w:rPr>
          <w:rFonts w:ascii="Times New Roman" w:hAnsi="Times New Roman"/>
          <w:sz w:val="28"/>
          <w:szCs w:val="28"/>
        </w:rPr>
        <w:t xml:space="preserve">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roofErr w:type="gramEnd"/>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7" w:name="_Toc225936067"/>
      <w:r w:rsidRPr="006848CC">
        <w:rPr>
          <w:rFonts w:ascii="Times New Roman" w:hAnsi="Times New Roman"/>
          <w:b/>
          <w:sz w:val="28"/>
          <w:szCs w:val="28"/>
        </w:rPr>
        <w:t>ТИТУЛЬНЫЙ ЛИСТ</w:t>
      </w:r>
      <w:bookmarkEnd w:id="27"/>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proofErr w:type="gramStart"/>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w:t>
      </w:r>
      <w:proofErr w:type="gramEnd"/>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w:t>
      </w:r>
      <w:proofErr w:type="gramStart"/>
      <w:r w:rsidRPr="006848CC">
        <w:rPr>
          <w:rFonts w:ascii="Times New Roman" w:hAnsi="Times New Roman"/>
          <w:bCs/>
          <w:sz w:val="28"/>
          <w:szCs w:val="28"/>
        </w:rPr>
        <w:t xml:space="preserve">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roofErr w:type="gramEnd"/>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 xml:space="preserve">". При отсутствии постоянной регистрации указывается </w:t>
      </w:r>
      <w:proofErr w:type="gramStart"/>
      <w:r w:rsidRPr="003F6CEA">
        <w:rPr>
          <w:rFonts w:ascii="Times New Roman" w:hAnsi="Times New Roman" w:cs="Times New Roman"/>
          <w:sz w:val="28"/>
          <w:szCs w:val="28"/>
        </w:rPr>
        <w:t>временная</w:t>
      </w:r>
      <w:proofErr w:type="gramEnd"/>
      <w:r w:rsidRPr="003F6CEA">
        <w:rPr>
          <w:rFonts w:ascii="Times New Roman" w:hAnsi="Times New Roman" w:cs="Times New Roman"/>
          <w:sz w:val="28"/>
          <w:szCs w:val="28"/>
        </w:rPr>
        <w:t>.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proofErr w:type="gramStart"/>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roofErr w:type="gramEnd"/>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8" w:name="_Toc225936068"/>
      <w:r w:rsidRPr="006B0B50">
        <w:t>РАЗДЕЛ 1. СВЕДЕНИЯ О ДОХОДАХ</w:t>
      </w:r>
      <w:bookmarkEnd w:id="28"/>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w:t>
      </w:r>
      <w:proofErr w:type="gramEnd"/>
      <w:r w:rsidR="00E4439A" w:rsidRPr="006848CC">
        <w:rPr>
          <w:rFonts w:ascii="Times New Roman" w:eastAsia="Times New Roman" w:hAnsi="Times New Roman"/>
          <w:sz w:val="28"/>
          <w:szCs w:val="28"/>
          <w:lang w:eastAsia="ru-RU"/>
        </w:rPr>
        <w:t xml:space="preserve">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29" w:name="_Toc225936069"/>
      <w:r w:rsidRPr="00401035">
        <w:rPr>
          <w:rFonts w:ascii="Times New Roman" w:hAnsi="Times New Roman"/>
          <w:b/>
          <w:sz w:val="28"/>
          <w:szCs w:val="28"/>
        </w:rPr>
        <w:t>Доход по основному месту работы</w:t>
      </w:r>
      <w:bookmarkEnd w:id="29"/>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0"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proofErr w:type="gramStart"/>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w:t>
      </w:r>
      <w:proofErr w:type="gramEnd"/>
      <w:r w:rsidR="003624CC" w:rsidRPr="00191144">
        <w:rPr>
          <w:rFonts w:ascii="Times New Roman" w:hAnsi="Times New Roman"/>
          <w:sz w:val="28"/>
          <w:szCs w:val="28"/>
        </w:rPr>
        <w:t xml:space="preserve">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0"/>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008E556F" w:rsidRPr="006848CC">
        <w:rPr>
          <w:rFonts w:ascii="Times New Roman" w:hAnsi="Times New Roman"/>
          <w:sz w:val="28"/>
          <w:szCs w:val="28"/>
        </w:rPr>
        <w:t>определен</w:t>
      </w:r>
      <w:proofErr w:type="gramEnd"/>
      <w:r w:rsidR="008E556F" w:rsidRPr="006848CC">
        <w:rPr>
          <w:rFonts w:ascii="Times New Roman" w:hAnsi="Times New Roman"/>
          <w:sz w:val="28"/>
          <w:szCs w:val="28"/>
        </w:rPr>
        <w:t xml:space="preserve">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1" w:name="_Toc225936070"/>
      <w:r w:rsidRPr="006848CC">
        <w:rPr>
          <w:rFonts w:ascii="Times New Roman" w:hAnsi="Times New Roman"/>
          <w:b/>
          <w:sz w:val="28"/>
          <w:szCs w:val="28"/>
        </w:rPr>
        <w:t>Доход от педагогической и научной деятельности</w:t>
      </w:r>
      <w:bookmarkEnd w:id="31"/>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6848CC">
        <w:rPr>
          <w:rFonts w:ascii="Times New Roman" w:hAnsi="Times New Roman"/>
          <w:sz w:val="28"/>
          <w:szCs w:val="28"/>
        </w:rPr>
        <w:t xml:space="preserve">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roofErr w:type="gramEnd"/>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2" w:name="_Toc225936071"/>
      <w:r w:rsidRPr="006848CC">
        <w:rPr>
          <w:rFonts w:ascii="Times New Roman" w:hAnsi="Times New Roman"/>
          <w:b/>
          <w:sz w:val="28"/>
          <w:szCs w:val="28"/>
        </w:rPr>
        <w:t>Доход от иной творческой деятельности</w:t>
      </w:r>
      <w:bookmarkEnd w:id="32"/>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proofErr w:type="gramStart"/>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14:paraId="5F2B2D8D" w14:textId="77777777" w:rsidR="004D5762" w:rsidRPr="00F55DA8" w:rsidRDefault="00CF22F2" w:rsidP="000C79D1">
      <w:pPr>
        <w:pStyle w:val="3"/>
        <w:tabs>
          <w:tab w:val="left" w:pos="567"/>
        </w:tabs>
        <w:rPr>
          <w:b w:val="0"/>
        </w:rPr>
      </w:pPr>
      <w:bookmarkStart w:id="33" w:name="_Toc225936072"/>
      <w:r w:rsidRPr="00F2545E">
        <w:t>Доход от вкладов в банках и иных кредитных организациях</w:t>
      </w:r>
      <w:bookmarkEnd w:id="33"/>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4"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4"/>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5" w:name="_Toc225936073"/>
      <w:r w:rsidRPr="006848CC">
        <w:rPr>
          <w:rFonts w:ascii="Times New Roman" w:hAnsi="Times New Roman"/>
          <w:b/>
          <w:sz w:val="28"/>
          <w:szCs w:val="28"/>
        </w:rPr>
        <w:t>Доход от ценных бумаг и долей участия в коммерческих организациях</w:t>
      </w:r>
      <w:bookmarkEnd w:id="35"/>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w:t>
      </w:r>
      <w:proofErr w:type="gramEnd"/>
      <w:r w:rsidR="00CF22F2" w:rsidRPr="00401035">
        <w:rPr>
          <w:rFonts w:ascii="Times New Roman" w:hAnsi="Times New Roman"/>
          <w:sz w:val="28"/>
          <w:szCs w:val="28"/>
        </w:rPr>
        <w:t xml:space="preserve">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4"/>
      <w:r w:rsidRPr="006848CC">
        <w:rPr>
          <w:rFonts w:ascii="Times New Roman" w:hAnsi="Times New Roman"/>
          <w:b/>
          <w:sz w:val="28"/>
          <w:szCs w:val="28"/>
        </w:rPr>
        <w:t>Иные доходы</w:t>
      </w:r>
      <w:bookmarkEnd w:id="36"/>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proofErr w:type="gramStart"/>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выдаваемую по</w:t>
      </w:r>
      <w:proofErr w:type="gramEnd"/>
      <w:r w:rsidRPr="006848CC">
        <w:rPr>
          <w:color w:val="auto"/>
          <w:sz w:val="28"/>
          <w:szCs w:val="28"/>
        </w:rPr>
        <w:t xml:space="preserve">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6848CC">
        <w:rPr>
          <w:color w:val="auto"/>
          <w:sz w:val="28"/>
          <w:szCs w:val="28"/>
        </w:rPr>
        <w:t>период</w:t>
      </w:r>
      <w:proofErr w:type="gramEnd"/>
      <w:r w:rsidRPr="006848CC">
        <w:rPr>
          <w:color w:val="auto"/>
          <w:sz w:val="28"/>
          <w:szCs w:val="28"/>
        </w:rPr>
        <w:t xml:space="preserve">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xml:space="preserve">). </w:t>
      </w:r>
      <w:proofErr w:type="gramStart"/>
      <w:r w:rsidRPr="006848CC">
        <w:rPr>
          <w:color w:val="auto"/>
          <w:sz w:val="28"/>
          <w:szCs w:val="28"/>
        </w:rPr>
        <w:t>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roofErr w:type="gramEnd"/>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w:t>
      </w:r>
      <w:proofErr w:type="gramStart"/>
      <w:r w:rsidRPr="00401035">
        <w:rPr>
          <w:rStyle w:val="af5"/>
          <w:rFonts w:ascii="Times New Roman" w:hAnsi="Times New Roman" w:cs="Times New Roman"/>
          <w:color w:val="000000"/>
          <w:sz w:val="28"/>
          <w:szCs w:val="28"/>
        </w:rPr>
        <w:t>,</w:t>
      </w:r>
      <w:proofErr w:type="gramEnd"/>
      <w:r w:rsidRPr="00401035">
        <w:rPr>
          <w:rStyle w:val="af5"/>
          <w:rFonts w:ascii="Times New Roman" w:hAnsi="Times New Roman" w:cs="Times New Roman"/>
          <w:color w:val="000000"/>
          <w:sz w:val="28"/>
          <w:szCs w:val="28"/>
        </w:rPr>
        <w:t xml:space="preserve">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proofErr w:type="gramStart"/>
      <w:r w:rsidRPr="006848CC">
        <w:rPr>
          <w:rFonts w:ascii="Times New Roman" w:hAnsi="Times New Roman"/>
          <w:sz w:val="28"/>
          <w:szCs w:val="28"/>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6848CC">
        <w:rPr>
          <w:rFonts w:ascii="Times New Roman" w:hAnsi="Times New Roman"/>
          <w:color w:val="000000"/>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roofErr w:type="gramEnd"/>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w:t>
      </w:r>
      <w:proofErr w:type="gramStart"/>
      <w:r w:rsidRPr="006848CC">
        <w:rPr>
          <w:rFonts w:ascii="Times New Roman" w:hAnsi="Times New Roman" w:cs="Times New Roman"/>
          <w:sz w:val="28"/>
          <w:szCs w:val="28"/>
        </w:rPr>
        <w:t xml:space="preserve">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roofErr w:type="gramEnd"/>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w:t>
      </w:r>
      <w:proofErr w:type="gramStart"/>
      <w:r w:rsidRPr="006848CC">
        <w:rPr>
          <w:rFonts w:ascii="Times New Roman" w:eastAsia="Times New Roman" w:hAnsi="Times New Roman" w:cs="Times New Roman"/>
          <w:sz w:val="28"/>
          <w:szCs w:val="28"/>
          <w:lang w:eastAsia="ru-RU"/>
        </w:rPr>
        <w:t>дств св</w:t>
      </w:r>
      <w:proofErr w:type="gramEnd"/>
      <w:r w:rsidRPr="006848CC">
        <w:rPr>
          <w:rFonts w:ascii="Times New Roman" w:eastAsia="Times New Roman" w:hAnsi="Times New Roman" w:cs="Times New Roman"/>
          <w:sz w:val="28"/>
          <w:szCs w:val="28"/>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w:t>
      </w:r>
      <w:proofErr w:type="gramStart"/>
      <w:r w:rsidRPr="006848CC">
        <w:rPr>
          <w:rFonts w:ascii="Times New Roman" w:hAnsi="Times New Roman"/>
          <w:sz w:val="28"/>
          <w:szCs w:val="28"/>
        </w:rPr>
        <w:t xml:space="preserve">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roofErr w:type="gramEnd"/>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proofErr w:type="gramStart"/>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roofErr w:type="gramEnd"/>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proofErr w:type="gramStart"/>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w:t>
      </w:r>
      <w:proofErr w:type="gramEnd"/>
      <w:r w:rsidRPr="006848CC">
        <w:rPr>
          <w:sz w:val="28"/>
          <w:szCs w:val="28"/>
        </w:rPr>
        <w:t xml:space="preserve">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roofErr w:type="gramEnd"/>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roofErr w:type="gramEnd"/>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6848CC">
        <w:rPr>
          <w:rFonts w:ascii="Times New Roman" w:hAnsi="Times New Roman"/>
          <w:sz w:val="28"/>
          <w:szCs w:val="28"/>
        </w:rPr>
        <w:t>дств вз</w:t>
      </w:r>
      <w:proofErr w:type="gramEnd"/>
      <w:r w:rsidRPr="006848CC">
        <w:rPr>
          <w:rFonts w:ascii="Times New Roman" w:hAnsi="Times New Roman"/>
          <w:sz w:val="28"/>
          <w:szCs w:val="28"/>
        </w:rPr>
        <w:t>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proofErr w:type="gramStart"/>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8B315A">
        <w:rPr>
          <w:rFonts w:ascii="Times New Roman" w:hAnsi="Times New Roman"/>
          <w:sz w:val="28"/>
          <w:szCs w:val="28"/>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8B315A">
        <w:rPr>
          <w:rFonts w:ascii="Times New Roman" w:hAnsi="Times New Roman"/>
          <w:sz w:val="28"/>
          <w:szCs w:val="28"/>
        </w:rPr>
        <w:t>отчитаться</w:t>
      </w:r>
      <w:proofErr w:type="gramEnd"/>
      <w:r w:rsidRPr="008B315A">
        <w:rPr>
          <w:rFonts w:ascii="Times New Roman" w:hAnsi="Times New Roman"/>
          <w:sz w:val="28"/>
          <w:szCs w:val="28"/>
        </w:rPr>
        <w:t xml:space="preserve">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w:t>
      </w:r>
      <w:proofErr w:type="gramStart"/>
      <w:r w:rsidRPr="006848CC">
        <w:rPr>
          <w:rFonts w:ascii="Times New Roman" w:hAnsi="Times New Roman"/>
          <w:sz w:val="28"/>
          <w:szCs w:val="28"/>
        </w:rPr>
        <w:t>дств пр</w:t>
      </w:r>
      <w:proofErr w:type="gramEnd"/>
      <w:r w:rsidRPr="006848CC">
        <w:rPr>
          <w:rFonts w:ascii="Times New Roman" w:hAnsi="Times New Roman"/>
          <w:sz w:val="28"/>
          <w:szCs w:val="28"/>
        </w:rPr>
        <w:t>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proofErr w:type="gramStart"/>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w:t>
      </w:r>
      <w:proofErr w:type="gramStart"/>
      <w:r w:rsidRPr="006848CC">
        <w:rPr>
          <w:rFonts w:ascii="Times New Roman" w:hAnsi="Times New Roman"/>
          <w:sz w:val="28"/>
          <w:szCs w:val="28"/>
        </w:rPr>
        <w:t>дств в св</w:t>
      </w:r>
      <w:proofErr w:type="gramEnd"/>
      <w:r w:rsidRPr="006848CC">
        <w:rPr>
          <w:rFonts w:ascii="Times New Roman" w:hAnsi="Times New Roman"/>
          <w:sz w:val="28"/>
          <w:szCs w:val="28"/>
        </w:rPr>
        <w:t>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7"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7"/>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8" w:name="_Toc225936075"/>
      <w:r w:rsidRPr="00F2545E">
        <w:t>РАЗДЕЛ 2. СВЕДЕНИЯ О РАСХОДАХ</w:t>
      </w:r>
      <w:bookmarkEnd w:id="38"/>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39" w:name="_Toc225936076"/>
      <w:r w:rsidRPr="00927C4D">
        <w:rPr>
          <w:rStyle w:val="30"/>
          <w:b/>
        </w:rPr>
        <w:lastRenderedPageBreak/>
        <w:t xml:space="preserve">Основные </w:t>
      </w:r>
      <w:r>
        <w:t>положения</w:t>
      </w:r>
      <w:bookmarkEnd w:id="39"/>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0" w:name="Расходы"/>
      <w:proofErr w:type="gramStart"/>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w:t>
      </w:r>
      <w:proofErr w:type="gramEnd"/>
      <w:r w:rsidR="00CF22F2" w:rsidRPr="006848CC">
        <w:rPr>
          <w:rFonts w:ascii="Times New Roman" w:hAnsi="Times New Roman"/>
          <w:sz w:val="28"/>
          <w:szCs w:val="28"/>
        </w:rPr>
        <w:t xml:space="preserve">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0"/>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1" w:name="Кандраз22"/>
      <w:bookmarkEnd w:id="41"/>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proofErr w:type="gramStart"/>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roofErr w:type="gramEnd"/>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proofErr w:type="gramStart"/>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roofErr w:type="gramEnd"/>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proofErr w:type="gramEnd"/>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6848CC">
        <w:rPr>
          <w:rFonts w:ascii="Times New Roman" w:hAnsi="Times New Roman"/>
          <w:sz w:val="28"/>
          <w:szCs w:val="28"/>
        </w:rPr>
        <w:t>контроле за</w:t>
      </w:r>
      <w:proofErr w:type="gramEnd"/>
      <w:r w:rsidRPr="006848CC">
        <w:rPr>
          <w:rFonts w:ascii="Times New Roman" w:hAnsi="Times New Roman"/>
          <w:sz w:val="28"/>
          <w:szCs w:val="28"/>
        </w:rPr>
        <w:t xml:space="preserve">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w:t>
      </w:r>
      <w:proofErr w:type="gramStart"/>
      <w:r w:rsidR="00822141">
        <w:rPr>
          <w:rFonts w:ascii="Times New Roman" w:hAnsi="Times New Roman"/>
          <w:sz w:val="28"/>
          <w:szCs w:val="28"/>
        </w:rPr>
        <w:t>также</w:t>
      </w:r>
      <w:proofErr w:type="gramEnd"/>
      <w:r w:rsidR="00822141">
        <w:rPr>
          <w:rFonts w:ascii="Times New Roman" w:hAnsi="Times New Roman"/>
          <w:sz w:val="28"/>
          <w:szCs w:val="28"/>
        </w:rPr>
        <w:t xml:space="preserve">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2" w:name="_Toc225936077"/>
      <w:r>
        <w:t>Вид приобретенного имущества</w:t>
      </w:r>
      <w:bookmarkEnd w:id="42"/>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3" w:name="_Toc225936078"/>
      <w:r>
        <w:t>Сумма сделки</w:t>
      </w:r>
      <w:bookmarkEnd w:id="43"/>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4" w:name="_Toc225936079"/>
      <w:r w:rsidRPr="000D681E">
        <w:t>Источник получения средств, за счет которых приобретено имущество</w:t>
      </w:r>
      <w:bookmarkEnd w:id="44"/>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5" w:name="_Toc225936080"/>
      <w:r>
        <w:t>Основания приобретения имущества</w:t>
      </w:r>
      <w:bookmarkEnd w:id="45"/>
    </w:p>
    <w:p w14:paraId="579BA02B" w14:textId="35C5D5D2" w:rsidR="004D5762" w:rsidRPr="006848CC" w:rsidRDefault="00CF22F2" w:rsidP="00AD482E">
      <w:pPr>
        <w:pStyle w:val="ConsPlusNormal"/>
        <w:numPr>
          <w:ilvl w:val="0"/>
          <w:numId w:val="1"/>
        </w:numPr>
        <w:ind w:left="0" w:firstLine="567"/>
        <w:jc w:val="both"/>
      </w:pPr>
      <w:bookmarkStart w:id="46"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w:t>
      </w:r>
      <w:proofErr w:type="gramStart"/>
      <w:r w:rsidRPr="006848CC">
        <w:t>транзакции</w:t>
      </w:r>
      <w:proofErr w:type="gramEnd"/>
      <w:r w:rsidRPr="006848CC">
        <w:t xml:space="preserve">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7" w:name="_Toc225936081"/>
      <w:bookmarkEnd w:id="46"/>
      <w:r>
        <w:t xml:space="preserve">Особенности </w:t>
      </w:r>
      <w:r w:rsidR="00FF36BB">
        <w:t>представления сведений о расходах</w:t>
      </w:r>
      <w:bookmarkEnd w:id="47"/>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w:t>
      </w:r>
      <w:proofErr w:type="gramStart"/>
      <w:r w:rsidRPr="006848CC">
        <w:rPr>
          <w:rFonts w:ascii="Times New Roman" w:hAnsi="Times New Roman"/>
          <w:sz w:val="28"/>
          <w:szCs w:val="28"/>
        </w:rPr>
        <w:t>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за три последних года, предшествующих совершению сделки.</w:t>
      </w:r>
      <w:proofErr w:type="gramEnd"/>
      <w:r w:rsidRPr="006848CC">
        <w:rPr>
          <w:rFonts w:ascii="Times New Roman" w:hAnsi="Times New Roman"/>
          <w:sz w:val="28"/>
          <w:szCs w:val="28"/>
        </w:rPr>
        <w:t xml:space="preserve">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w:t>
      </w:r>
      <w:proofErr w:type="gramStart"/>
      <w:r w:rsidRPr="006848CC">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roofErr w:type="gramEnd"/>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8" w:name="_Toc225936082"/>
      <w:r w:rsidRPr="00F2545E">
        <w:t>РАЗДЕЛ 3. СВЕДЕНИЯ ОБ ИМУЩЕСТВЕ</w:t>
      </w:r>
      <w:bookmarkEnd w:id="48"/>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49" w:name="_Toc225936083"/>
      <w:r w:rsidRPr="00F2545E">
        <w:t>Подраздел 3.1 Недвижимое имущество</w:t>
      </w:r>
      <w:bookmarkEnd w:id="49"/>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 xml:space="preserve">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w:t>
      </w:r>
      <w:proofErr w:type="gramStart"/>
      <w:r w:rsidRPr="006848CC">
        <w:rPr>
          <w:rFonts w:ascii="Times New Roman" w:hAnsi="Times New Roman"/>
          <w:sz w:val="28"/>
          <w:szCs w:val="28"/>
        </w:rPr>
        <w:t>собственности</w:t>
      </w:r>
      <w:proofErr w:type="gramEnd"/>
      <w:r w:rsidRPr="006848CC">
        <w:rPr>
          <w:rFonts w:ascii="Times New Roman" w:hAnsi="Times New Roman"/>
          <w:sz w:val="28"/>
          <w:szCs w:val="28"/>
        </w:rPr>
        <w:t xml:space="preserve">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0"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w:t>
      </w:r>
      <w:proofErr w:type="gramEnd"/>
      <w:r w:rsidRPr="006848CC">
        <w:rPr>
          <w:rFonts w:ascii="Times New Roman" w:hAnsi="Times New Roman"/>
          <w:sz w:val="28"/>
          <w:szCs w:val="28"/>
          <w:lang w:eastAsia="ru-RU"/>
        </w:rPr>
        <w:t xml:space="preserve">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0"/>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6848CC">
        <w:rPr>
          <w:rFonts w:ascii="Times New Roman" w:hAnsi="Times New Roman"/>
          <w:sz w:val="28"/>
          <w:szCs w:val="28"/>
        </w:rPr>
        <w:t>сведения</w:t>
      </w:r>
      <w:proofErr w:type="gramEnd"/>
      <w:r w:rsidRPr="006848CC">
        <w:rPr>
          <w:rFonts w:ascii="Times New Roman" w:hAnsi="Times New Roman"/>
          <w:sz w:val="28"/>
          <w:szCs w:val="28"/>
        </w:rPr>
        <w:t xml:space="preserve">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1"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2" w:name="Площадь"/>
      <w:bookmarkEnd w:id="51"/>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2"/>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w:t>
      </w:r>
      <w:proofErr w:type="gramStart"/>
      <w:r w:rsidRPr="006848CC">
        <w:rPr>
          <w:rFonts w:ascii="Times New Roman" w:hAnsi="Times New Roman"/>
          <w:sz w:val="28"/>
          <w:szCs w:val="28"/>
        </w:rPr>
        <w:t>регистрации</w:t>
      </w:r>
      <w:proofErr w:type="gramEnd"/>
      <w:r w:rsidRPr="006848CC">
        <w:rPr>
          <w:rFonts w:ascii="Times New Roman" w:hAnsi="Times New Roman"/>
          <w:sz w:val="28"/>
          <w:szCs w:val="28"/>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3" w:name="ЕГРН"/>
      <w:proofErr w:type="gramStart"/>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аконом порядке не оформлены, то указываются имеющиеся правоустанавливающие документы, подтверждающие основание приобретения</w:t>
      </w:r>
      <w:proofErr w:type="gramEnd"/>
      <w:r w:rsidRPr="006848CC">
        <w:rPr>
          <w:rFonts w:ascii="Times New Roman" w:hAnsi="Times New Roman"/>
          <w:sz w:val="28"/>
          <w:szCs w:val="28"/>
        </w:rPr>
        <w:t xml:space="preserve">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3"/>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proofErr w:type="gramStart"/>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2F3F32">
        <w:rPr>
          <w:rFonts w:ascii="Times New Roman" w:hAnsi="Times New Roman"/>
          <w:sz w:val="28"/>
          <w:szCs w:val="28"/>
        </w:rPr>
        <w:t xml:space="preserve">",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4" w:name="Par1"/>
      <w:bookmarkStart w:id="55" w:name="Должности"/>
      <w:bookmarkEnd w:id="54"/>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w:t>
      </w:r>
      <w:proofErr w:type="gramStart"/>
      <w:r w:rsidRPr="006848CC">
        <w:rPr>
          <w:rFonts w:ascii="Times New Roman" w:hAnsi="Times New Roman"/>
          <w:sz w:val="28"/>
          <w:szCs w:val="28"/>
        </w:rPr>
        <w:t>членов Совета директоров Центрального банка Российской Федерации</w:t>
      </w:r>
      <w:proofErr w:type="gramEnd"/>
      <w:r w:rsidRPr="006848CC">
        <w:rPr>
          <w:rFonts w:ascii="Times New Roman" w:hAnsi="Times New Roman"/>
          <w:sz w:val="28"/>
          <w:szCs w:val="28"/>
        </w:rPr>
        <w:t>;</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6" w:name="Par8"/>
      <w:bookmarkEnd w:id="56"/>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w:t>
      </w:r>
      <w:proofErr w:type="gramEnd"/>
      <w:r w:rsidRPr="006848CC">
        <w:rPr>
          <w:rFonts w:ascii="Times New Roman" w:hAnsi="Times New Roman"/>
          <w:sz w:val="28"/>
          <w:szCs w:val="28"/>
        </w:rPr>
        <w:t xml:space="preserve"> </w:t>
      </w:r>
      <w:proofErr w:type="gramStart"/>
      <w:r w:rsidRPr="006848CC">
        <w:rPr>
          <w:rFonts w:ascii="Times New Roman" w:hAnsi="Times New Roman"/>
          <w:sz w:val="28"/>
          <w:szCs w:val="28"/>
        </w:rPr>
        <w:t xml:space="preserve">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w:t>
      </w:r>
      <w:proofErr w:type="gramEnd"/>
      <w:r w:rsidRPr="006848CC">
        <w:rPr>
          <w:rFonts w:ascii="Times New Roman" w:hAnsi="Times New Roman"/>
          <w:sz w:val="28"/>
          <w:szCs w:val="28"/>
        </w:rPr>
        <w:t>, вышеуказанный запрет не распространяется);</w:t>
      </w:r>
    </w:p>
    <w:bookmarkEnd w:id="55"/>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 xml:space="preserve">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roofErr w:type="gramEnd"/>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7" w:name="_Toc225936084"/>
      <w:r w:rsidRPr="006848CC">
        <w:rPr>
          <w:rFonts w:ascii="Times New Roman" w:hAnsi="Times New Roman"/>
          <w:b/>
          <w:sz w:val="28"/>
          <w:szCs w:val="28"/>
        </w:rPr>
        <w:t>Подраздел 3.2. Транспортные средства</w:t>
      </w:r>
      <w:bookmarkEnd w:id="57"/>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roofErr w:type="gramEnd"/>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8"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8"/>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6848CC">
        <w:rPr>
          <w:rStyle w:val="af5"/>
          <w:rFonts w:ascii="Times New Roman" w:hAnsi="Times New Roman" w:cs="Times New Roman"/>
          <w:sz w:val="28"/>
          <w:szCs w:val="28"/>
          <w:shd w:val="clear" w:color="auto" w:fill="auto"/>
        </w:rPr>
        <w:t>условия</w:t>
      </w:r>
      <w:proofErr w:type="gramEnd"/>
      <w:r w:rsidRPr="006848CC">
        <w:rPr>
          <w:rStyle w:val="af5"/>
          <w:rFonts w:ascii="Times New Roman" w:hAnsi="Times New Roman" w:cs="Times New Roman"/>
          <w:sz w:val="28"/>
          <w:szCs w:val="28"/>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w:t>
      </w:r>
      <w:proofErr w:type="gramEnd"/>
      <w:r w:rsidRPr="006848CC">
        <w:rPr>
          <w:rStyle w:val="af5"/>
          <w:rFonts w:ascii="Times New Roman" w:hAnsi="Times New Roman" w:cs="Times New Roman"/>
          <w:sz w:val="28"/>
          <w:szCs w:val="28"/>
          <w:shd w:val="clear" w:color="auto" w:fill="auto"/>
        </w:rPr>
        <w:t xml:space="preserve">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6848CC">
        <w:rPr>
          <w:rStyle w:val="af5"/>
          <w:rFonts w:ascii="Times New Roman" w:hAnsi="Times New Roman" w:cs="Times New Roman"/>
          <w:sz w:val="28"/>
          <w:szCs w:val="28"/>
          <w:shd w:val="clear" w:color="auto" w:fill="auto"/>
        </w:rPr>
        <w:t xml:space="preserve">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59" w:name="_Toc225936086"/>
      <w:r w:rsidRPr="00F2545E">
        <w:t>Подраздел 3.4. Утилитарные цифровые права</w:t>
      </w:r>
      <w:bookmarkEnd w:id="59"/>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roofErr w:type="gramEnd"/>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proofErr w:type="gramStart"/>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6848CC">
        <w:rPr>
          <w:rStyle w:val="af5"/>
          <w:rFonts w:ascii="Times New Roman" w:hAnsi="Times New Roman" w:cs="Times New Roman"/>
          <w:sz w:val="28"/>
          <w:szCs w:val="28"/>
          <w:shd w:val="clear" w:color="auto" w:fill="auto"/>
        </w:rPr>
        <w:t xml:space="preserve">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0" w:name="_Toc225936087"/>
      <w:r w:rsidRPr="006848CC">
        <w:rPr>
          <w:rFonts w:ascii="Times New Roman" w:hAnsi="Times New Roman"/>
          <w:b/>
          <w:sz w:val="28"/>
          <w:szCs w:val="28"/>
        </w:rPr>
        <w:t>Подраздел 3.5. Цифровая валюта</w:t>
      </w:r>
      <w:bookmarkEnd w:id="60"/>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proofErr w:type="gramStart"/>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 xml:space="preserve">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848CC">
        <w:rPr>
          <w:rStyle w:val="af5"/>
          <w:rFonts w:ascii="Times New Roman" w:hAnsi="Times New Roman" w:cs="Times New Roman"/>
          <w:sz w:val="28"/>
          <w:szCs w:val="28"/>
          <w:shd w:val="clear" w:color="auto" w:fill="auto"/>
        </w:rPr>
        <w:t xml:space="preserve">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1"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1"/>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2"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proofErr w:type="gramStart"/>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roofErr w:type="gramEnd"/>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2"/>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6848CC">
        <w:rPr>
          <w:rFonts w:ascii="Times New Roman" w:hAnsi="Times New Roman"/>
          <w:sz w:val="28"/>
          <w:szCs w:val="28"/>
        </w:rPr>
        <w:t>дств сл</w:t>
      </w:r>
      <w:proofErr w:type="gramEnd"/>
      <w:r w:rsidRPr="006848CC">
        <w:rPr>
          <w:rFonts w:ascii="Times New Roman" w:hAnsi="Times New Roman"/>
          <w:sz w:val="28"/>
          <w:szCs w:val="28"/>
        </w:rPr>
        <w:t xml:space="preserve">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proofErr w:type="gramStart"/>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roofErr w:type="gramEnd"/>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proofErr w:type="gramStart"/>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roofErr w:type="gramEnd"/>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w:t>
      </w:r>
      <w:proofErr w:type="gramStart"/>
      <w:r w:rsidRPr="00C84829">
        <w:rPr>
          <w:rFonts w:ascii="Times New Roman" w:hAnsi="Times New Roman"/>
          <w:sz w:val="28"/>
        </w:rPr>
        <w:t xml:space="preserve">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w:t>
      </w:r>
      <w:proofErr w:type="gramEnd"/>
      <w:r w:rsidRPr="00C84829">
        <w:rPr>
          <w:rFonts w:ascii="Times New Roman" w:hAnsi="Times New Roman"/>
          <w:sz w:val="28"/>
        </w:rPr>
        <w:t xml:space="preserve">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sidRPr="00C84829">
        <w:rPr>
          <w:rFonts w:ascii="Times New Roman" w:hAnsi="Times New Roman"/>
          <w:sz w:val="28"/>
        </w:rPr>
        <w:t>" [</w:t>
      </w:r>
      <w:r w:rsidRPr="00C84829">
        <w:rPr>
          <w:rFonts w:ascii="Segoe UI Symbol" w:hAnsi="Segoe UI Symbol"/>
          <w:sz w:val="28"/>
        </w:rPr>
        <w:t>✓</w:t>
      </w:r>
      <w:r w:rsidRPr="00C84829">
        <w:rPr>
          <w:rFonts w:ascii="Times New Roman" w:hAnsi="Times New Roman"/>
          <w:sz w:val="28"/>
        </w:rPr>
        <w:t xml:space="preserve">] </w:t>
      </w:r>
      <w:proofErr w:type="gramEnd"/>
      <w:r w:rsidRPr="00C84829">
        <w:rPr>
          <w:rFonts w:ascii="Times New Roman" w:hAnsi="Times New Roman"/>
          <w:sz w:val="28"/>
        </w:rPr>
        <w:t>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proofErr w:type="gramStart"/>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roofErr w:type="gramEnd"/>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proofErr w:type="gramStart"/>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roofErr w:type="gramEnd"/>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roofErr w:type="gramEnd"/>
    </w:p>
    <w:p w14:paraId="22FB45E5" w14:textId="0FE6BC3E"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roofErr w:type="gramEnd"/>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roofErr w:type="gramEnd"/>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roofErr w:type="gramEnd"/>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3" w:name="_Toc225936089"/>
      <w:r w:rsidRPr="00F2545E">
        <w:t>Совместный счет</w:t>
      </w:r>
      <w:bookmarkEnd w:id="63"/>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4"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4"/>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6848CC">
              <w:rPr>
                <w:rFonts w:ascii="Times New Roman" w:hAnsi="Times New Roman"/>
                <w:sz w:val="28"/>
                <w:szCs w:val="28"/>
              </w:rPr>
              <w:t>дств кл</w:t>
            </w:r>
            <w:proofErr w:type="gramEnd"/>
            <w:r w:rsidRPr="006848CC">
              <w:rPr>
                <w:rFonts w:ascii="Times New Roman" w:hAnsi="Times New Roman"/>
                <w:sz w:val="28"/>
                <w:szCs w:val="28"/>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rsidRPr="006848CC">
        <w:rPr>
          <w:rFonts w:ascii="Times New Roman" w:hAnsi="Times New Roman"/>
          <w:sz w:val="28"/>
          <w:szCs w:val="28"/>
        </w:rPr>
        <w:t>ств вл</w:t>
      </w:r>
      <w:proofErr w:type="gramEnd"/>
      <w:r w:rsidRPr="006848CC">
        <w:rPr>
          <w:rFonts w:ascii="Times New Roman" w:hAnsi="Times New Roman"/>
          <w:sz w:val="28"/>
          <w:szCs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proofErr w:type="gramStart"/>
      <w:r w:rsidR="00CF22F2" w:rsidRPr="00F45D28">
        <w:rPr>
          <w:rFonts w:ascii="Times New Roman" w:hAnsi="Times New Roman"/>
          <w:sz w:val="28"/>
          <w:szCs w:val="28"/>
        </w:rPr>
        <w:t>Ю</w:t>
      </w:r>
      <w:proofErr w:type="gramEnd"/>
      <w:r w:rsidR="00CF22F2" w:rsidRPr="00F45D28">
        <w:rPr>
          <w:rFonts w:ascii="Times New Roman" w:hAnsi="Times New Roman"/>
          <w:sz w:val="28"/>
          <w:szCs w:val="28"/>
        </w:rPr>
        <w:t>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proofErr w:type="gramStart"/>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w:t>
      </w:r>
      <w:proofErr w:type="gramEnd"/>
      <w:r w:rsidRPr="00F45D28">
        <w:rPr>
          <w:rFonts w:ascii="Times New Roman" w:hAnsi="Times New Roman"/>
          <w:sz w:val="28"/>
          <w:szCs w:val="28"/>
        </w:rPr>
        <w:t xml:space="preserve">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5" w:name="_Toc225936091"/>
      <w:r w:rsidRPr="003F6CEA">
        <w:rPr>
          <w:rFonts w:ascii="Times New Roman" w:hAnsi="Times New Roman"/>
          <w:b/>
          <w:sz w:val="28"/>
          <w:szCs w:val="28"/>
        </w:rPr>
        <w:t>Отзыв лицензии у кредитной организации</w:t>
      </w:r>
      <w:bookmarkEnd w:id="65"/>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6" w:name="_Toc225936092"/>
      <w:r w:rsidRPr="003F6CEA">
        <w:rPr>
          <w:rFonts w:ascii="Times New Roman" w:hAnsi="Times New Roman"/>
          <w:b/>
          <w:sz w:val="28"/>
          <w:szCs w:val="28"/>
        </w:rPr>
        <w:t>Ликвидация кредитной организации</w:t>
      </w:r>
      <w:bookmarkEnd w:id="66"/>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7" w:name="_Toc225936093"/>
      <w:r w:rsidRPr="00F2545E">
        <w:t>РАЗДЕЛ 5. СВЕДЕНИЯ О ЦЕННЫХ БУМАГАХ</w:t>
      </w:r>
      <w:bookmarkEnd w:id="67"/>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w:t>
      </w:r>
      <w:proofErr w:type="gramStart"/>
      <w:r w:rsidR="00DD2454">
        <w:rPr>
          <w:rFonts w:ascii="Times New Roman" w:hAnsi="Times New Roman"/>
          <w:sz w:val="28"/>
          <w:szCs w:val="28"/>
        </w:rPr>
        <w:t xml:space="preserve">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roofErr w:type="gramEnd"/>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8" w:name="_Toc225936094"/>
      <w:r w:rsidRPr="00F2545E">
        <w:t>Подраздел 5.1. Акции и иное участие в коммерческих орган</w:t>
      </w:r>
      <w:r w:rsidRPr="00946DAB">
        <w:t>изациях и фондах</w:t>
      </w:r>
      <w:bookmarkEnd w:id="68"/>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69"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w:t>
      </w:r>
      <w:proofErr w:type="gramStart"/>
      <w:r w:rsidRPr="006848CC">
        <w:rPr>
          <w:rFonts w:ascii="Times New Roman" w:hAnsi="Times New Roman"/>
          <w:sz w:val="28"/>
          <w:szCs w:val="28"/>
        </w:rPr>
        <w:t>ии и ее</w:t>
      </w:r>
      <w:proofErr w:type="gramEnd"/>
      <w:r w:rsidRPr="006848CC">
        <w:rPr>
          <w:rFonts w:ascii="Times New Roman" w:hAnsi="Times New Roman"/>
          <w:sz w:val="28"/>
          <w:szCs w:val="28"/>
        </w:rPr>
        <w:t xml:space="preserve">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0" w:name="Par619"/>
      <w:bookmarkEnd w:id="70"/>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1" w:name="Местонахождение"/>
      <w:bookmarkEnd w:id="69"/>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w:t>
      </w:r>
      <w:proofErr w:type="gramStart"/>
      <w:r w:rsidRPr="00924928">
        <w:rPr>
          <w:rFonts w:ascii="Times New Roman" w:hAnsi="Times New Roman"/>
          <w:sz w:val="28"/>
          <w:szCs w:val="28"/>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roofErr w:type="gramEnd"/>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2" w:name="Капитал"/>
      <w:bookmarkEnd w:id="71"/>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3" w:name="Par620"/>
      <w:bookmarkStart w:id="74" w:name="Долиучастия"/>
      <w:bookmarkStart w:id="75" w:name="Участие"/>
      <w:bookmarkEnd w:id="72"/>
      <w:bookmarkEnd w:id="73"/>
      <w:bookmarkEnd w:id="7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5"/>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6848CC">
        <w:rPr>
          <w:rFonts w:ascii="Times New Roman" w:hAnsi="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6" w:name="_Toc225936095"/>
      <w:r w:rsidRPr="006848CC">
        <w:rPr>
          <w:rFonts w:ascii="Times New Roman" w:hAnsi="Times New Roman"/>
          <w:b/>
          <w:sz w:val="28"/>
          <w:szCs w:val="28"/>
        </w:rPr>
        <w:t>Подраздел 5.2. Иные ценные бумаги</w:t>
      </w:r>
      <w:bookmarkEnd w:id="76"/>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proofErr w:type="gramStart"/>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w:t>
      </w:r>
      <w:proofErr w:type="gramEnd"/>
      <w:r w:rsidRPr="006848CC">
        <w:rPr>
          <w:rFonts w:ascii="Times New Roman" w:hAnsi="Times New Roman"/>
          <w:sz w:val="28"/>
          <w:szCs w:val="28"/>
        </w:rPr>
        <w:t>,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7" w:name="_Toc225936096"/>
      <w:r w:rsidRPr="00F55DA8">
        <w:t xml:space="preserve">РАЗДЕЛ 6. СВЕДЕНИЯ ОБ ОБЯЗАТЕЛЬСТВАХ </w:t>
      </w:r>
      <w:r w:rsidRPr="00F2545E">
        <w:t>И</w:t>
      </w:r>
      <w:r w:rsidR="00CF22F2" w:rsidRPr="00946DAB">
        <w:t>МУЩЕСТВЕННОГО ХАРАКТЕРА</w:t>
      </w:r>
      <w:bookmarkEnd w:id="77"/>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8" w:name="_Toc225936097"/>
      <w:r w:rsidRPr="00F2545E">
        <w:t>Подраздел 6.1. Объекты недвижимого имущества, находящиеся в пользовании</w:t>
      </w:r>
      <w:bookmarkEnd w:id="78"/>
    </w:p>
    <w:p w14:paraId="1A9CBD9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w:t>
      </w:r>
      <w:proofErr w:type="gramStart"/>
      <w:r w:rsidRPr="006848CC">
        <w:rPr>
          <w:rFonts w:ascii="Times New Roman" w:hAnsi="Times New Roman"/>
          <w:sz w:val="28"/>
          <w:szCs w:val="28"/>
        </w:rPr>
        <w:t>принадлежащих</w:t>
      </w:r>
      <w:proofErr w:type="gramEnd"/>
      <w:r w:rsidRPr="006848CC">
        <w:rPr>
          <w:rFonts w:ascii="Times New Roman" w:hAnsi="Times New Roman"/>
          <w:sz w:val="28"/>
          <w:szCs w:val="28"/>
        </w:rPr>
        <w:t xml:space="preserve">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7) переданных </w:t>
      </w:r>
      <w:proofErr w:type="gramStart"/>
      <w:r w:rsidRPr="006848CC">
        <w:rPr>
          <w:rFonts w:ascii="Times New Roman" w:hAnsi="Times New Roman"/>
          <w:sz w:val="28"/>
          <w:szCs w:val="28"/>
        </w:rPr>
        <w:t>объектах</w:t>
      </w:r>
      <w:proofErr w:type="gramEnd"/>
      <w:r w:rsidRPr="006848CC">
        <w:rPr>
          <w:rFonts w:ascii="Times New Roman" w:hAnsi="Times New Roman"/>
          <w:sz w:val="28"/>
          <w:szCs w:val="28"/>
        </w:rPr>
        <w:t xml:space="preserve">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79" w:name="Par626"/>
      <w:bookmarkEnd w:id="7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0" w:name="Par627"/>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6848CC">
        <w:rPr>
          <w:rFonts w:ascii="Times New Roman" w:hAnsi="Times New Roman"/>
          <w:sz w:val="28"/>
          <w:szCs w:val="28"/>
        </w:rPr>
        <w:t>гаражно-строительного</w:t>
      </w:r>
      <w:proofErr w:type="gramEnd"/>
      <w:r w:rsidRPr="006848CC">
        <w:rPr>
          <w:rFonts w:ascii="Times New Roman" w:hAnsi="Times New Roman"/>
          <w:sz w:val="28"/>
          <w:szCs w:val="28"/>
        </w:rPr>
        <w:t xml:space="preserve">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w:t>
      </w:r>
      <w:proofErr w:type="gramStart"/>
      <w:r w:rsidRPr="006848CC">
        <w:rPr>
          <w:rFonts w:ascii="Times New Roman" w:hAnsi="Times New Roman"/>
        </w:rPr>
        <w:t>,</w:t>
      </w:r>
      <w:proofErr w:type="gramEnd"/>
      <w:r w:rsidRPr="006848CC">
        <w:rPr>
          <w:rFonts w:ascii="Times New Roman" w:hAnsi="Times New Roman"/>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1" w:name="_Toc225936098"/>
      <w:r w:rsidRPr="006848CC">
        <w:rPr>
          <w:rFonts w:ascii="Times New Roman" w:hAnsi="Times New Roman"/>
          <w:b/>
          <w:sz w:val="28"/>
          <w:szCs w:val="28"/>
        </w:rPr>
        <w:t>Подраздел 6.2. Срочные обязательства финансового характера</w:t>
      </w:r>
      <w:bookmarkEnd w:id="81"/>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2" w:name="Par629"/>
      <w:bookmarkEnd w:id="82"/>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если служащий (работник) или его супруга (супруг) заключи</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3" w:name="Par631"/>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3"/>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proofErr w:type="gramStart"/>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w:t>
      </w:r>
      <w:proofErr w:type="gramEnd"/>
      <w:r w:rsidRPr="006848CC">
        <w:rPr>
          <w:rFonts w:ascii="Times New Roman" w:hAnsi="Times New Roman"/>
          <w:sz w:val="28"/>
          <w:szCs w:val="28"/>
        </w:rPr>
        <w:t xml:space="preserve">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6848CC">
        <w:rPr>
          <w:rFonts w:ascii="Times New Roman" w:hAnsi="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6848CC">
        <w:rPr>
          <w:rFonts w:ascii="Times New Roman" w:hAnsi="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6848CC">
        <w:rPr>
          <w:rFonts w:ascii="Times New Roman" w:hAnsi="Times New Roman"/>
          <w:sz w:val="28"/>
          <w:szCs w:val="28"/>
        </w:rPr>
        <w:t>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можно отразить, что денежные средства переданы застройщику в полном объеме</w:t>
      </w:r>
      <w:proofErr w:type="gramEnd"/>
      <w:r w:rsidRPr="006848CC">
        <w:rPr>
          <w:rFonts w:ascii="Times New Roman" w:hAnsi="Times New Roman"/>
          <w:sz w:val="28"/>
          <w:szCs w:val="28"/>
        </w:rPr>
        <w:t xml:space="preserve">.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6848CC">
        <w:rPr>
          <w:rFonts w:ascii="Times New Roman" w:hAnsi="Times New Roman"/>
          <w:sz w:val="28"/>
          <w:szCs w:val="28"/>
        </w:rPr>
        <w:t>и</w:t>
      </w:r>
      <w:proofErr w:type="gramEnd"/>
      <w:r w:rsidRPr="006848CC">
        <w:rPr>
          <w:rFonts w:ascii="Times New Roman" w:hAnsi="Times New Roman"/>
          <w:sz w:val="28"/>
          <w:szCs w:val="28"/>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w:t>
      </w:r>
      <w:proofErr w:type="gramEnd"/>
      <w:r w:rsidRPr="006848CC">
        <w:rPr>
          <w:rFonts w:ascii="Times New Roman" w:hAnsi="Times New Roman"/>
          <w:sz w:val="28"/>
          <w:szCs w:val="28"/>
        </w:rPr>
        <w:t xml:space="preserve">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5" w:name="Обязательства"/>
      <w:proofErr w:type="gramStart"/>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w:t>
      </w:r>
      <w:proofErr w:type="gramEnd"/>
      <w:r w:rsidRPr="006848CC">
        <w:rPr>
          <w:rFonts w:ascii="Times New Roman" w:hAnsi="Times New Roman"/>
          <w:b/>
          <w:sz w:val="28"/>
          <w:szCs w:val="28"/>
        </w:rPr>
        <w:t xml:space="preserve">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proofErr w:type="gramStart"/>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w:t>
      </w:r>
      <w:proofErr w:type="gramEnd"/>
      <w:r w:rsidR="00806E49" w:rsidRPr="00806E49">
        <w:rPr>
          <w:rFonts w:ascii="Times New Roman" w:hAnsi="Times New Roman"/>
          <w:sz w:val="28"/>
          <w:szCs w:val="28"/>
        </w:rPr>
        <w:t xml:space="preserve">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w:t>
      </w:r>
      <w:proofErr w:type="gramEnd"/>
      <w:r w:rsidRPr="006848CC">
        <w:rPr>
          <w:rFonts w:ascii="Times New Roman" w:hAnsi="Times New Roman"/>
          <w:sz w:val="28"/>
          <w:szCs w:val="28"/>
        </w:rPr>
        <w:t xml:space="preserve">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6" w:name="Брокер"/>
      <w:bookmarkEnd w:id="85"/>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proofErr w:type="gramStart"/>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w:t>
      </w:r>
      <w:proofErr w:type="gramEnd"/>
      <w:r w:rsidRPr="006D6F6F">
        <w:rPr>
          <w:rFonts w:ascii="Times New Roman" w:hAnsi="Times New Roman"/>
          <w:sz w:val="28"/>
          <w:szCs w:val="28"/>
        </w:rPr>
        <w:t xml:space="preserve">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7" w:name="_Toc225936099"/>
      <w:bookmarkEnd w:id="86"/>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7"/>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w:t>
      </w:r>
      <w:proofErr w:type="gramEnd"/>
      <w:r w:rsidRPr="006848CC">
        <w:rPr>
          <w:rFonts w:ascii="Times New Roman" w:hAnsi="Times New Roman"/>
          <w:sz w:val="28"/>
          <w:szCs w:val="28"/>
        </w:rPr>
        <w:t xml:space="preserve">,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proofErr w:type="gramStart"/>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roofErr w:type="gramEnd"/>
    </w:p>
    <w:p w14:paraId="307F8DAB" w14:textId="45E6AA30" w:rsidR="004D5762" w:rsidRPr="00D36D5A" w:rsidRDefault="00CF22F2">
      <w:pPr>
        <w:pStyle w:val="af7"/>
        <w:widowControl w:val="0"/>
        <w:ind w:left="0" w:firstLine="567"/>
        <w:rPr>
          <w:rFonts w:ascii="Times New Roman" w:hAnsi="Times New Roman"/>
          <w:sz w:val="28"/>
        </w:rPr>
      </w:pPr>
      <w:proofErr w:type="gramStart"/>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roofErr w:type="gramEnd"/>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bookmarkStart w:id="88" w:name="_GoBack"/>
      <w:bookmarkEnd w:id="88"/>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81FDA" w14:textId="77777777" w:rsidR="004544E3" w:rsidRDefault="004544E3">
      <w:r>
        <w:separator/>
      </w:r>
    </w:p>
  </w:endnote>
  <w:endnote w:type="continuationSeparator" w:id="0">
    <w:p w14:paraId="10DED4E7" w14:textId="77777777" w:rsidR="004544E3" w:rsidRDefault="004544E3">
      <w:r>
        <w:continuationSeparator/>
      </w:r>
    </w:p>
  </w:endnote>
  <w:endnote w:type="continuationNotice" w:id="1">
    <w:p w14:paraId="6D7D645D" w14:textId="77777777" w:rsidR="004544E3" w:rsidRDefault="00454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13270" w14:textId="77777777" w:rsidR="004544E3" w:rsidRDefault="004544E3">
      <w:r>
        <w:separator/>
      </w:r>
    </w:p>
  </w:footnote>
  <w:footnote w:type="continuationSeparator" w:id="0">
    <w:p w14:paraId="796842C4" w14:textId="77777777" w:rsidR="004544E3" w:rsidRDefault="004544E3">
      <w:r>
        <w:continuationSeparator/>
      </w:r>
    </w:p>
  </w:footnote>
  <w:footnote w:type="continuationNotice" w:id="1">
    <w:p w14:paraId="4AD237BE" w14:textId="77777777" w:rsidR="004544E3" w:rsidRDefault="004544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B60C3A" w:rsidRDefault="00B60C3A" w:rsidP="00AD75B1">
    <w:pPr>
      <w:pStyle w:val="af0"/>
      <w:jc w:val="center"/>
      <w:rPr>
        <w:rFonts w:ascii="Times New Roman" w:eastAsia="Times New Roman" w:hAnsi="Times New Roman"/>
        <w:sz w:val="28"/>
      </w:rPr>
    </w:pPr>
    <w:r>
      <w:fldChar w:fldCharType="begin"/>
    </w:r>
    <w:r>
      <w:instrText>PAGE \* MERGEFORMAT</w:instrText>
    </w:r>
    <w:r>
      <w:fldChar w:fldCharType="separate"/>
    </w:r>
    <w:r w:rsidR="00AE24FA" w:rsidRPr="00AE24FA">
      <w:rPr>
        <w:rFonts w:ascii="Times New Roman" w:eastAsia="Times New Roman" w:hAnsi="Times New Roman"/>
        <w:noProof/>
        <w:sz w:val="28"/>
      </w:rPr>
      <w:t>74</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1524"/>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4E3"/>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24FA"/>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3A"/>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D6817"/>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C2AAE382-BF47-44C9-9A80-0AB199CA9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4</cp:revision>
  <cp:lastPrinted>2026-04-15T07:29:00Z</cp:lastPrinted>
  <dcterms:created xsi:type="dcterms:W3CDTF">2026-04-07T09:28:00Z</dcterms:created>
  <dcterms:modified xsi:type="dcterms:W3CDTF">2026-04-15T07:34:00Z</dcterms:modified>
</cp:coreProperties>
</file>