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D4" w:rsidRDefault="00C846D4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69">
        <w:r>
          <w:rPr>
            <w:color w:val="0000FF"/>
          </w:rPr>
          <w:t>&lt;2&gt;</w:t>
        </w:r>
      </w:hyperlink>
    </w:p>
    <w:p w:rsidR="00C846D4" w:rsidRDefault="00C846D4">
      <w:pPr>
        <w:pStyle w:val="ConsPlusNormal"/>
        <w:jc w:val="right"/>
      </w:pPr>
      <w:proofErr w:type="gramStart"/>
      <w:r>
        <w:t>адрес (для заявителя-гражданина: место жительства или место</w:t>
      </w:r>
      <w:proofErr w:type="gramEnd"/>
    </w:p>
    <w:p w:rsidR="00C846D4" w:rsidRDefault="00C846D4">
      <w:pPr>
        <w:pStyle w:val="ConsPlusNormal"/>
        <w:jc w:val="right"/>
      </w:pPr>
      <w:r>
        <w:t>пребывания): ________________________________________________,</w:t>
      </w:r>
    </w:p>
    <w:p w:rsidR="00C846D4" w:rsidRDefault="00C846D4">
      <w:pPr>
        <w:pStyle w:val="ConsPlusNormal"/>
        <w:jc w:val="right"/>
      </w:pPr>
      <w:r>
        <w:t>телефон: ____________________, факс: ________________________,</w:t>
      </w:r>
    </w:p>
    <w:p w:rsidR="00C846D4" w:rsidRDefault="00C846D4">
      <w:pPr>
        <w:pStyle w:val="ConsPlusNormal"/>
        <w:jc w:val="right"/>
      </w:pPr>
      <w:r>
        <w:t>адрес электронной почты: _____________________________________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right"/>
      </w:pPr>
      <w:r>
        <w:t>Вариант для заявителя-гражданина:</w:t>
      </w:r>
    </w:p>
    <w:p w:rsidR="00C846D4" w:rsidRDefault="00C846D4">
      <w:pPr>
        <w:pStyle w:val="ConsPlusNormal"/>
        <w:jc w:val="right"/>
      </w:pPr>
      <w:r>
        <w:t>дата и место рождения: ______________________________________,</w:t>
      </w:r>
    </w:p>
    <w:p w:rsidR="00C846D4" w:rsidRDefault="00C846D4">
      <w:pPr>
        <w:pStyle w:val="ConsPlusNormal"/>
        <w:jc w:val="right"/>
      </w:pPr>
      <w:r>
        <w:t>идентификатор гражданина: ____________________________________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right"/>
      </w:pPr>
      <w:r>
        <w:t>Вариант для заявителя-организации:</w:t>
      </w:r>
    </w:p>
    <w:p w:rsidR="00C846D4" w:rsidRDefault="00C846D4">
      <w:pPr>
        <w:pStyle w:val="ConsPlusNormal"/>
        <w:jc w:val="right"/>
      </w:pPr>
      <w:r>
        <w:t>ИНН __________________________________________________________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70">
        <w:r>
          <w:rPr>
            <w:color w:val="0000FF"/>
          </w:rPr>
          <w:t>&lt;3&gt;</w:t>
        </w:r>
      </w:hyperlink>
    </w:p>
    <w:p w:rsidR="00C846D4" w:rsidRDefault="00C846D4">
      <w:pPr>
        <w:pStyle w:val="ConsPlusNormal"/>
        <w:jc w:val="right"/>
      </w:pPr>
      <w:r>
        <w:t>адрес: ______________________________________________________,</w:t>
      </w:r>
    </w:p>
    <w:p w:rsidR="00C846D4" w:rsidRDefault="00C846D4">
      <w:pPr>
        <w:pStyle w:val="ConsPlusNormal"/>
        <w:jc w:val="right"/>
      </w:pPr>
      <w:r>
        <w:t>телефон: ____________________, факс: ________________________,</w:t>
      </w:r>
    </w:p>
    <w:p w:rsidR="00C846D4" w:rsidRDefault="00C846D4">
      <w:pPr>
        <w:pStyle w:val="ConsPlusNormal"/>
        <w:jc w:val="right"/>
      </w:pPr>
      <w:r>
        <w:t>адрес электронной почты: ____________________________________,</w:t>
      </w:r>
    </w:p>
    <w:p w:rsidR="00C846D4" w:rsidRDefault="00C846D4">
      <w:pPr>
        <w:pStyle w:val="ConsPlusNormal"/>
        <w:jc w:val="right"/>
      </w:pPr>
      <w:r>
        <w:t>идентификатор гражданина: ____________________________________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right"/>
      </w:pPr>
      <w:r>
        <w:t>Заинтересованное лицо: _______________________________________</w:t>
      </w:r>
    </w:p>
    <w:p w:rsidR="00C846D4" w:rsidRDefault="00C846D4">
      <w:pPr>
        <w:pStyle w:val="ConsPlusNormal"/>
        <w:jc w:val="right"/>
      </w:pPr>
      <w:r>
        <w:t>(Ф.И.О. лица, в отношении которого подается заявление)</w:t>
      </w:r>
    </w:p>
    <w:p w:rsidR="00C846D4" w:rsidRDefault="00C846D4">
      <w:pPr>
        <w:pStyle w:val="ConsPlusNormal"/>
        <w:jc w:val="right"/>
      </w:pPr>
      <w:r>
        <w:t>место жительства или место пребывания: ______________________,</w:t>
      </w:r>
    </w:p>
    <w:p w:rsidR="00C846D4" w:rsidRDefault="00C846D4">
      <w:pPr>
        <w:pStyle w:val="ConsPlusNormal"/>
        <w:jc w:val="right"/>
      </w:pPr>
    </w:p>
    <w:p w:rsidR="00C846D4" w:rsidRDefault="00C846D4">
      <w:pPr>
        <w:pStyle w:val="ConsPlusNormal"/>
        <w:jc w:val="right"/>
      </w:pPr>
      <w:r>
        <w:t>телефон: ____________________, факс: ________________________,</w:t>
      </w:r>
    </w:p>
    <w:p w:rsidR="00C846D4" w:rsidRDefault="00C846D4">
      <w:pPr>
        <w:pStyle w:val="ConsPlusNormal"/>
        <w:jc w:val="right"/>
      </w:pPr>
      <w:r>
        <w:t>адрес электронной почты: ____________________________________,</w:t>
      </w:r>
    </w:p>
    <w:p w:rsidR="00C846D4" w:rsidRDefault="00C846D4">
      <w:pPr>
        <w:pStyle w:val="ConsPlusNormal"/>
        <w:jc w:val="right"/>
      </w:pPr>
      <w:r>
        <w:t>дата и место рождения: ______________________________________,</w:t>
      </w:r>
    </w:p>
    <w:p w:rsidR="00C846D4" w:rsidRDefault="00C846D4">
      <w:pPr>
        <w:pStyle w:val="ConsPlusNormal"/>
        <w:jc w:val="right"/>
      </w:pPr>
      <w:r>
        <w:t>место работы: _______________________________ (если известно),</w:t>
      </w:r>
    </w:p>
    <w:p w:rsidR="00C846D4" w:rsidRDefault="00C846D4">
      <w:pPr>
        <w:pStyle w:val="ConsPlusNormal"/>
        <w:jc w:val="right"/>
      </w:pPr>
      <w:r>
        <w:t>идентификатор гражданина: ____________________ (если известен)</w:t>
      </w:r>
    </w:p>
    <w:p w:rsidR="00C846D4" w:rsidRDefault="00C846D4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C846D4" w:rsidRDefault="00C846D4">
      <w:pPr>
        <w:pStyle w:val="ConsPlusNormal"/>
        <w:jc w:val="right"/>
      </w:pPr>
    </w:p>
    <w:p w:rsidR="00C846D4" w:rsidRDefault="00C846D4">
      <w:pPr>
        <w:pStyle w:val="ConsPlusNormal"/>
        <w:jc w:val="right"/>
      </w:pPr>
      <w:r>
        <w:t xml:space="preserve">Госпошлина: 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jc w:val="center"/>
      </w:pPr>
      <w:r>
        <w:t>Заявление</w:t>
      </w:r>
    </w:p>
    <w:p w:rsidR="00C846D4" w:rsidRDefault="00C846D4">
      <w:pPr>
        <w:pStyle w:val="ConsPlusNormal"/>
        <w:jc w:val="center"/>
      </w:pPr>
      <w:r>
        <w:t>о признании гражданина</w:t>
      </w:r>
    </w:p>
    <w:p w:rsidR="00C846D4" w:rsidRDefault="00C846D4">
      <w:pPr>
        <w:pStyle w:val="ConsPlusNormal"/>
        <w:jc w:val="center"/>
      </w:pPr>
      <w:r>
        <w:t>(вариант: несовершеннолетнего гражданина)</w:t>
      </w:r>
    </w:p>
    <w:p w:rsidR="00C846D4" w:rsidRDefault="00C846D4">
      <w:pPr>
        <w:pStyle w:val="ConsPlusNormal"/>
        <w:jc w:val="center"/>
      </w:pPr>
      <w:r>
        <w:t>недееспособным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>
        <w:t>в</w:t>
      </w:r>
      <w:proofErr w:type="gramEnd"/>
      <w:r>
        <w:t xml:space="preserve"> ______________ по адресу: _______________), что подтверждается ________________________.</w:t>
      </w:r>
    </w:p>
    <w:p w:rsidR="00C846D4" w:rsidRDefault="00C846D4">
      <w:pPr>
        <w:pStyle w:val="ConsPlusNormal"/>
        <w:spacing w:before="220"/>
        <w:ind w:firstLine="540"/>
        <w:jc w:val="both"/>
      </w:pPr>
      <w:proofErr w:type="gramStart"/>
      <w: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>
        <w:t xml:space="preserve">О.), </w:t>
      </w:r>
      <w:proofErr w:type="gramStart"/>
      <w:r>
        <w:t>которая</w:t>
      </w:r>
      <w:proofErr w:type="gramEnd"/>
      <w:r>
        <w:t xml:space="preserve"> находится в _________________________________ (указать медицинскую организацию) по адресу: </w:t>
      </w:r>
      <w:r>
        <w:lastRenderedPageBreak/>
        <w:t>_______________________________________.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п. 1 ст. 21</w:t>
        </w:r>
      </w:hyperlink>
      <w:r>
        <w:t xml:space="preserve">, </w:t>
      </w:r>
      <w:hyperlink r:id="rId8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п. 4 ч. 1 ст. 262</w:t>
        </w:r>
      </w:hyperlink>
      <w:r>
        <w:t xml:space="preserve">, </w:t>
      </w:r>
      <w:hyperlink r:id="rId10">
        <w:r>
          <w:rPr>
            <w:color w:val="0000FF"/>
          </w:rPr>
          <w:t>ст. ст. 281</w:t>
        </w:r>
      </w:hyperlink>
      <w:r>
        <w:t xml:space="preserve"> - </w:t>
      </w:r>
      <w:hyperlink r:id="rId11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>Приложение: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заинтересованного лица.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>3. Документы, подтверждающие наличие у заинтересованного лица психического расстройства.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74">
        <w:r>
          <w:rPr>
            <w:color w:val="0000FF"/>
          </w:rPr>
          <w:t>&lt;5&gt;</w:t>
        </w:r>
      </w:hyperlink>
      <w:r>
        <w:t>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</w:t>
      </w:r>
      <w:hyperlink w:anchor="P70">
        <w:r>
          <w:rPr>
            <w:color w:val="0000FF"/>
          </w:rPr>
          <w:t>&lt;3&gt;</w:t>
        </w:r>
      </w:hyperlink>
      <w:r>
        <w:t>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>Заявитель (представитель):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  <w:r>
        <w:t>--------------------------------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846D4" w:rsidRDefault="00C846D4">
      <w:pPr>
        <w:pStyle w:val="ConsPlusNormal"/>
        <w:spacing w:before="220"/>
        <w:ind w:firstLine="540"/>
        <w:jc w:val="both"/>
      </w:pPr>
      <w:bookmarkStart w:id="1" w:name="P67"/>
      <w:bookmarkEnd w:id="1"/>
      <w:r>
        <w:lastRenderedPageBreak/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2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C846D4" w:rsidRDefault="00C846D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C846D4" w:rsidRDefault="00C846D4">
      <w:pPr>
        <w:pStyle w:val="ConsPlusNormal"/>
        <w:spacing w:before="220"/>
        <w:ind w:firstLine="540"/>
        <w:jc w:val="both"/>
      </w:pPr>
      <w:bookmarkStart w:id="2" w:name="P69"/>
      <w:bookmarkEnd w:id="2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4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C846D4" w:rsidRDefault="00C846D4">
      <w:pPr>
        <w:pStyle w:val="ConsPlusNormal"/>
        <w:spacing w:before="220"/>
        <w:ind w:firstLine="540"/>
        <w:jc w:val="both"/>
      </w:pPr>
      <w:bookmarkStart w:id="3" w:name="P70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846D4" w:rsidRDefault="00C846D4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8">
        <w:r>
          <w:rPr>
            <w:color w:val="0000FF"/>
          </w:rPr>
          <w:t>ст. 333.35</w:t>
        </w:r>
      </w:hyperlink>
      <w:r>
        <w:t xml:space="preserve">,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C846D4" w:rsidRDefault="00C846D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>
        <w:r>
          <w:rPr>
            <w:color w:val="0000FF"/>
          </w:rPr>
          <w:t>ч.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C846D4" w:rsidRDefault="00C846D4">
      <w:pPr>
        <w:pStyle w:val="ConsPlusNormal"/>
        <w:spacing w:before="220"/>
        <w:ind w:firstLine="540"/>
        <w:jc w:val="both"/>
      </w:pPr>
      <w:bookmarkStart w:id="5" w:name="P74"/>
      <w:bookmarkEnd w:id="5"/>
      <w:r>
        <w:t>&lt;5&gt; Ходатайства могут быть представлены заявителем суду на предварительном судебном заседании (</w:t>
      </w:r>
      <w:hyperlink r:id="rId22">
        <w:r>
          <w:rPr>
            <w:color w:val="0000FF"/>
          </w:rPr>
          <w:t>ч. 1 ст. 35</w:t>
        </w:r>
      </w:hyperlink>
      <w:r>
        <w:t xml:space="preserve">, </w:t>
      </w:r>
      <w:hyperlink r:id="rId23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ind w:firstLine="540"/>
        <w:jc w:val="both"/>
      </w:pPr>
    </w:p>
    <w:p w:rsidR="00C846D4" w:rsidRDefault="00C846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4DA" w:rsidRDefault="002D44DA"/>
    <w:sectPr w:rsidR="002D44DA" w:rsidSect="007C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D4"/>
    <w:rsid w:val="002D44DA"/>
    <w:rsid w:val="00C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4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4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170" TargetMode="External"/><Relationship Id="rId13" Type="http://schemas.openxmlformats.org/officeDocument/2006/relationships/hyperlink" Target="https://login.consultant.ru/link/?req=doc&amp;base=LAW&amp;n=502317&amp;dst=803" TargetMode="External"/><Relationship Id="rId18" Type="http://schemas.openxmlformats.org/officeDocument/2006/relationships/hyperlink" Target="https://login.consultant.ru/link/?req=doc&amp;base=LAW&amp;n=527094&amp;dst=1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01328" TargetMode="External"/><Relationship Id="rId7" Type="http://schemas.openxmlformats.org/officeDocument/2006/relationships/hyperlink" Target="https://login.consultant.ru/link/?req=doc&amp;base=LAW&amp;n=508490&amp;dst=100118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27094&amp;dst=995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0253" TargetMode="External"/><Relationship Id="rId20" Type="http://schemas.openxmlformats.org/officeDocument/2006/relationships/hyperlink" Target="https://login.consultant.ru/link/?req=doc&amp;base=LAW&amp;n=527094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170" TargetMode="External"/><Relationship Id="rId11" Type="http://schemas.openxmlformats.org/officeDocument/2006/relationships/hyperlink" Target="https://login.consultant.ru/link/?req=doc&amp;base=LAW&amp;n=502317&amp;dst=10132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00118" TargetMode="External"/><Relationship Id="rId15" Type="http://schemas.openxmlformats.org/officeDocument/2006/relationships/hyperlink" Target="https://login.consultant.ru/link/?req=doc&amp;base=LAW&amp;n=502317&amp;dst=1208" TargetMode="External"/><Relationship Id="rId23" Type="http://schemas.openxmlformats.org/officeDocument/2006/relationships/hyperlink" Target="https://login.consultant.ru/link/?req=doc&amp;base=LAW&amp;n=502317&amp;dst=585" TargetMode="External"/><Relationship Id="rId10" Type="http://schemas.openxmlformats.org/officeDocument/2006/relationships/hyperlink" Target="https://login.consultant.ru/link/?req=doc&amp;base=LAW&amp;n=502317&amp;dst=101315" TargetMode="External"/><Relationship Id="rId19" Type="http://schemas.openxmlformats.org/officeDocument/2006/relationships/hyperlink" Target="https://login.consultant.ru/link/?req=doc&amp;base=LAW&amp;n=527094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1222" TargetMode="External"/><Relationship Id="rId14" Type="http://schemas.openxmlformats.org/officeDocument/2006/relationships/hyperlink" Target="https://login.consultant.ru/link/?req=doc&amp;base=LAW&amp;n=502317&amp;dst=802" TargetMode="External"/><Relationship Id="rId22" Type="http://schemas.openxmlformats.org/officeDocument/2006/relationships/hyperlink" Target="https://login.consultant.ru/link/?req=doc&amp;base=LAW&amp;n=502317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2026-03-25T07:41:00Z</dcterms:created>
  <dcterms:modified xsi:type="dcterms:W3CDTF">2026-03-25T07:42:00Z</dcterms:modified>
</cp:coreProperties>
</file>